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374039" w:rsidRDefault="00374039"/>
    <w:p w:rsidR="00374039" w:rsidRPr="000C4284" w:rsidRDefault="00374039" w:rsidP="00374039">
      <w:pPr>
        <w:pStyle w:val="2"/>
        <w:tabs>
          <w:tab w:val="clear" w:pos="567"/>
          <w:tab w:val="left" w:pos="0"/>
        </w:tabs>
        <w:spacing w:before="57" w:after="57"/>
        <w:ind w:left="0" w:firstLine="0"/>
        <w:rPr>
          <w:lang w:val="el-GR"/>
        </w:rPr>
      </w:pPr>
      <w:bookmarkStart w:id="0" w:name="_Toc8453154"/>
      <w:r>
        <w:rPr>
          <w:lang w:val="el-GR"/>
        </w:rPr>
        <w:t>ΠΑΡΑΡΤΗΜΑ ΙΙI – «Φύλλο Συμμόρφωσης»</w:t>
      </w:r>
      <w:bookmarkEnd w:id="0"/>
    </w:p>
    <w:p w:rsidR="00374039" w:rsidRPr="00D47EF7" w:rsidRDefault="00374039" w:rsidP="00374039">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374039" w:rsidRPr="00AA5B2A" w:rsidRDefault="00374039" w:rsidP="00374039">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374039" w:rsidRDefault="00374039" w:rsidP="00374039">
      <w:pPr>
        <w:spacing w:after="0"/>
        <w:rPr>
          <w:b/>
          <w:sz w:val="20"/>
          <w:szCs w:val="20"/>
          <w:lang w:val="el-GR"/>
        </w:rPr>
      </w:pPr>
    </w:p>
    <w:p w:rsidR="00374039" w:rsidRDefault="00374039" w:rsidP="00374039">
      <w:pPr>
        <w:spacing w:after="0"/>
        <w:rPr>
          <w:b/>
          <w:sz w:val="20"/>
          <w:szCs w:val="20"/>
          <w:lang w:val="el-GR"/>
        </w:rPr>
      </w:pPr>
    </w:p>
    <w:p w:rsidR="00374039" w:rsidRDefault="00374039" w:rsidP="00374039">
      <w:pPr>
        <w:pStyle w:val="Default"/>
        <w:spacing w:line="360" w:lineRule="auto"/>
        <w:jc w:val="center"/>
        <w:rPr>
          <w:rFonts w:ascii="Verdana" w:hAnsi="Verdana"/>
          <w:b/>
          <w:i/>
          <w:sz w:val="20"/>
          <w:szCs w:val="22"/>
        </w:rPr>
      </w:pPr>
      <w:r>
        <w:rPr>
          <w:rFonts w:ascii="Verdana" w:hAnsi="Verdana"/>
          <w:b/>
          <w:i/>
          <w:sz w:val="20"/>
          <w:szCs w:val="22"/>
        </w:rPr>
        <w:t>«</w:t>
      </w:r>
      <w:r w:rsidRPr="00CE03B5">
        <w:rPr>
          <w:rFonts w:ascii="Verdana" w:hAnsi="Verdana" w:cs="Times-Bold"/>
          <w:b/>
          <w:bCs/>
          <w:i/>
          <w:sz w:val="20"/>
          <w:szCs w:val="26"/>
        </w:rPr>
        <w:t xml:space="preserve">Προληπτική &amp; Επισκευαστική συντήρηση και Τεχνική υποστήριξη με αναλώσιμα των ανελκυστήρων του ΓΠΑ </w:t>
      </w:r>
      <w:r>
        <w:rPr>
          <w:rFonts w:ascii="Verdana" w:hAnsi="Verdana"/>
          <w:b/>
          <w:i/>
          <w:sz w:val="20"/>
          <w:szCs w:val="22"/>
        </w:rPr>
        <w:t>»</w:t>
      </w:r>
    </w:p>
    <w:p w:rsidR="00374039" w:rsidRDefault="00374039" w:rsidP="00374039">
      <w:pPr>
        <w:pStyle w:val="Default"/>
        <w:spacing w:before="120"/>
        <w:rPr>
          <w:rFonts w:ascii="Verdana" w:hAnsi="Verdana" w:cs="Arial"/>
          <w:i/>
          <w:sz w:val="20"/>
          <w:szCs w:val="20"/>
        </w:rPr>
      </w:pPr>
    </w:p>
    <w:p w:rsidR="00374039" w:rsidRPr="0078184C" w:rsidRDefault="00374039" w:rsidP="00374039">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374039" w:rsidRPr="0078184C" w:rsidRDefault="00374039" w:rsidP="00374039">
      <w:pPr>
        <w:pStyle w:val="Default"/>
        <w:spacing w:before="120" w:after="120"/>
        <w:jc w:val="both"/>
        <w:rPr>
          <w:rFonts w:ascii="Calibri" w:hAnsi="Calibri" w:cs="Calibri"/>
          <w:sz w:val="22"/>
          <w:szCs w:val="22"/>
        </w:rPr>
      </w:pPr>
      <w:r w:rsidRPr="0078184C">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374039" w:rsidRPr="0078184C" w:rsidRDefault="00374039" w:rsidP="00374039">
      <w:pPr>
        <w:pStyle w:val="Default"/>
        <w:spacing w:before="120" w:after="120"/>
        <w:jc w:val="both"/>
        <w:rPr>
          <w:rFonts w:ascii="Calibri" w:eastAsia="Times New Roman" w:hAnsi="Calibri" w:cs="Calibri"/>
          <w:color w:val="auto"/>
          <w:sz w:val="22"/>
          <w:szCs w:val="22"/>
        </w:rPr>
      </w:pPr>
      <w:r w:rsidRPr="0078184C">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78184C">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rsidR="00374039" w:rsidRPr="0078184C" w:rsidRDefault="00374039" w:rsidP="00374039">
      <w:pPr>
        <w:pStyle w:val="Default"/>
        <w:spacing w:before="120" w:after="120"/>
        <w:jc w:val="both"/>
        <w:rPr>
          <w:rFonts w:ascii="Calibri" w:hAnsi="Calibri" w:cs="Calibri"/>
          <w:sz w:val="22"/>
          <w:szCs w:val="22"/>
        </w:rPr>
      </w:pPr>
      <w:r w:rsidRPr="0078184C">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Default="00374039" w:rsidP="00374039">
      <w:pPr>
        <w:pStyle w:val="Default"/>
        <w:spacing w:line="360" w:lineRule="auto"/>
        <w:jc w:val="center"/>
        <w:rPr>
          <w:rFonts w:ascii="Calibri" w:hAnsi="Calibri" w:cs="Calibri"/>
          <w:b/>
          <w:sz w:val="22"/>
          <w:szCs w:val="22"/>
        </w:rPr>
      </w:pPr>
    </w:p>
    <w:p w:rsidR="00374039" w:rsidRPr="00F43F38" w:rsidRDefault="00374039" w:rsidP="00374039">
      <w:pPr>
        <w:pStyle w:val="Default"/>
        <w:spacing w:line="360" w:lineRule="auto"/>
        <w:rPr>
          <w:rFonts w:ascii="Calibri" w:hAnsi="Calibri" w:cs="Calibri"/>
          <w:b/>
          <w:sz w:val="22"/>
          <w:szCs w:val="22"/>
        </w:rPr>
      </w:pPr>
    </w:p>
    <w:p w:rsidR="00374039" w:rsidRPr="0078184C" w:rsidRDefault="00374039" w:rsidP="00374039">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374039" w:rsidRDefault="00374039" w:rsidP="00374039">
      <w:pPr>
        <w:rPr>
          <w:b/>
          <w:color w:val="000000"/>
          <w:szCs w:val="22"/>
          <w:lang w:val="el-GR" w:eastAsia="en-US"/>
        </w:rPr>
      </w:pPr>
      <w:r w:rsidRPr="006912FC">
        <w:rPr>
          <w:b/>
          <w:szCs w:val="22"/>
          <w:lang w:val="el-GR"/>
        </w:rPr>
        <w:t>«Υπηρεσίες συντήρησης των υδραυλικών εγκαταστάσεων του Γεωπονικού Πανεπιστημίου Αθηνών»</w:t>
      </w:r>
      <w:r w:rsidRPr="006912FC" w:rsidDel="008E6CFE">
        <w:rPr>
          <w:b/>
          <w:szCs w:val="22"/>
          <w:lang w:val="el-GR"/>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047"/>
        <w:gridCol w:w="1349"/>
        <w:gridCol w:w="1439"/>
        <w:gridCol w:w="1817"/>
      </w:tblGrid>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ind w:firstLine="284"/>
              <w:jc w:val="both"/>
              <w:rPr>
                <w:rFonts w:ascii="Verdana" w:hAnsi="Verdana" w:cs="Arial"/>
                <w:b/>
                <w:sz w:val="18"/>
                <w:szCs w:val="20"/>
                <w:lang w:val="en-US"/>
              </w:rPr>
            </w:pPr>
            <w:r w:rsidRPr="00867D41">
              <w:rPr>
                <w:rFonts w:ascii="Verdana" w:hAnsi="Verdana" w:cs="Arial"/>
                <w:b/>
                <w:sz w:val="18"/>
                <w:szCs w:val="20"/>
              </w:rPr>
              <w:t>Α/Α</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jc w:val="both"/>
              <w:rPr>
                <w:rFonts w:ascii="Verdana" w:hAnsi="Verdana" w:cs="Arial"/>
                <w:b/>
                <w:sz w:val="18"/>
                <w:szCs w:val="20"/>
              </w:rPr>
            </w:pPr>
            <w:r w:rsidRPr="00867D41">
              <w:rPr>
                <w:rFonts w:ascii="Verdana" w:hAnsi="Verdana" w:cs="Arial"/>
                <w:b/>
                <w:sz w:val="18"/>
                <w:szCs w:val="20"/>
              </w:rPr>
              <w:t>ΠΡΟΔΙΑΓΡΑΦΗ</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jc w:val="center"/>
              <w:rPr>
                <w:rFonts w:ascii="Verdana" w:hAnsi="Verdana" w:cs="Arial"/>
                <w:b/>
                <w:sz w:val="18"/>
                <w:szCs w:val="20"/>
              </w:rPr>
            </w:pPr>
            <w:r w:rsidRPr="00867D41">
              <w:rPr>
                <w:rFonts w:ascii="Verdana" w:hAnsi="Verdana" w:cs="Arial"/>
                <w:b/>
                <w:sz w:val="18"/>
                <w:szCs w:val="20"/>
              </w:rPr>
              <w:t>ΑΠΑΙΤΗΣΗ</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rPr>
                <w:rFonts w:ascii="Verdana" w:hAnsi="Verdana" w:cs="Arial"/>
                <w:b/>
                <w:sz w:val="18"/>
                <w:szCs w:val="20"/>
              </w:rPr>
            </w:pPr>
            <w:r w:rsidRPr="00867D41">
              <w:rPr>
                <w:rFonts w:ascii="Verdana" w:hAnsi="Verdana" w:cs="Arial"/>
                <w:b/>
                <w:sz w:val="18"/>
                <w:szCs w:val="20"/>
              </w:rPr>
              <w:t>ΑΠΑΝΤΗΣΗ</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rPr>
                <w:rFonts w:ascii="Verdana" w:hAnsi="Verdana" w:cs="Arial"/>
                <w:b/>
                <w:sz w:val="18"/>
                <w:szCs w:val="20"/>
              </w:rPr>
            </w:pPr>
            <w:r w:rsidRPr="00867D41">
              <w:rPr>
                <w:rFonts w:ascii="Verdana" w:hAnsi="Verdana" w:cs="Arial"/>
                <w:b/>
                <w:sz w:val="18"/>
                <w:szCs w:val="20"/>
              </w:rPr>
              <w:t>ΠΑΡΑΠΟΜΠΗ ΤΕΚΜΗΡΙΩΣΗΣ</w:t>
            </w: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1.</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rPr>
                <w:szCs w:val="22"/>
                <w:highlight w:val="yellow"/>
                <w:lang w:val="el-GR"/>
              </w:rPr>
            </w:pPr>
            <w:r w:rsidRPr="00867D41">
              <w:rPr>
                <w:szCs w:val="22"/>
                <w:lang w:val="el-GR"/>
              </w:rPr>
              <w:t>Να κατέχει άδεια από Περιφέρεια σύμφωνα με το ΠΔ 112 /2012 (ΦΕΚ 197 Α ) 1ης ειδικότητας , 3ης βαθμίδας.</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pStyle w:val="Default"/>
              <w:spacing w:before="120" w:after="120" w:line="360" w:lineRule="auto"/>
              <w:ind w:firstLine="284"/>
              <w:jc w:val="center"/>
              <w:rPr>
                <w:rFonts w:ascii="Calibri" w:eastAsia="Calibri" w:hAnsi="Calibri" w:cs="Calibri"/>
                <w:sz w:val="22"/>
                <w:szCs w:val="22"/>
              </w:rPr>
            </w:pPr>
            <w:r w:rsidRPr="00867D41">
              <w:rPr>
                <w:rFonts w:ascii="Calibri" w:hAnsi="Calibri" w:cs="Calibri"/>
                <w:sz w:val="22"/>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rPr>
            </w:pP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2.</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rPr>
                <w:szCs w:val="22"/>
                <w:lang w:val="el-GR"/>
              </w:rPr>
            </w:pPr>
            <w:r w:rsidRPr="00867D41">
              <w:rPr>
                <w:szCs w:val="22"/>
                <w:lang w:val="el-GR"/>
              </w:rPr>
              <w:t xml:space="preserve">Να έχει την ευχέρεια να παραδίδει στην Τεχνική Υπηρεσία, εφόσον χρειαστεί, μικρές τεχνικές περιγραφές - προδιαγραφές για τα </w:t>
            </w:r>
            <w:proofErr w:type="spellStart"/>
            <w:r w:rsidRPr="00867D41">
              <w:rPr>
                <w:szCs w:val="22"/>
                <w:lang w:val="el-GR"/>
              </w:rPr>
              <w:t>μικρο</w:t>
            </w:r>
            <w:proofErr w:type="spellEnd"/>
            <w:r w:rsidRPr="00867D41">
              <w:rPr>
                <w:szCs w:val="22"/>
                <w:lang w:val="el-GR"/>
              </w:rPr>
              <w:t>-έργα που τυχόν προκύψουν για την από-κατάσταση των βλαβών που θα διαγνωστούν</w:t>
            </w:r>
          </w:p>
          <w:p w:rsidR="00374039" w:rsidRPr="00867D41" w:rsidRDefault="00374039" w:rsidP="0044766B">
            <w:pPr>
              <w:rPr>
                <w:bCs/>
                <w:szCs w:val="22"/>
                <w:highlight w:val="yellow"/>
                <w:lang w:val="el-GR"/>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pStyle w:val="Default"/>
              <w:spacing w:before="120" w:after="120" w:line="360" w:lineRule="auto"/>
              <w:ind w:firstLine="284"/>
              <w:jc w:val="center"/>
              <w:rPr>
                <w:rFonts w:ascii="Calibri" w:eastAsia="Calibri" w:hAnsi="Calibri" w:cs="Calibri"/>
                <w:sz w:val="22"/>
                <w:szCs w:val="22"/>
              </w:rPr>
            </w:pPr>
            <w:r w:rsidRPr="00867D41">
              <w:rPr>
                <w:rFonts w:ascii="Calibri" w:hAnsi="Calibri" w:cs="Calibri"/>
                <w:sz w:val="22"/>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rPr>
            </w:pP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3.</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rPr>
                <w:szCs w:val="22"/>
                <w:lang w:val="el-GR"/>
              </w:rPr>
            </w:pPr>
            <w:r w:rsidRPr="00867D41">
              <w:rPr>
                <w:szCs w:val="22"/>
                <w:lang w:val="el-GR"/>
              </w:rPr>
              <w:t>Να μπορεί να κάνει διάγνωση βλαβών στα δίκτυα κεντρικής θέρμανσης, ύδρευσης, αποχέτευσης (όμβριων και ακαθάρτων), άρδευσης του ΓΠΑ και στα στοιχεία των εγκαταστάσεων αυτών. Έπειτα από συνεννόηση με την Τεχνική Υπηρεσία, Τμήμα Β΄ (ΤΥΒ) θα μεριμνά για την αποκατάσταση των βλαβών ή την εκτίμηση τεχνικής λύσης και κόστους.</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widowControl w:val="0"/>
              <w:spacing w:line="360" w:lineRule="auto"/>
              <w:ind w:firstLine="284"/>
              <w:jc w:val="center"/>
              <w:rPr>
                <w:szCs w:val="22"/>
              </w:rPr>
            </w:pPr>
            <w:r w:rsidRPr="00867D41">
              <w:rPr>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eastAsia="Calibri" w:hAnsi="Verdana" w:cs="Arial"/>
                <w:i/>
                <w:sz w:val="20"/>
                <w:szCs w:val="20"/>
                <w:highlight w:val="yellow"/>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highlight w:val="yellow"/>
              </w:rPr>
            </w:pP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4.</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rPr>
                <w:szCs w:val="22"/>
                <w:lang w:val="el-GR"/>
              </w:rPr>
            </w:pPr>
            <w:r w:rsidRPr="00867D41">
              <w:rPr>
                <w:szCs w:val="22"/>
                <w:lang w:val="el-GR"/>
              </w:rPr>
              <w:t>Άμεση επέμβαση (εντός 3 ωρών), εκτός του ωραρίου του, σε έκτακτη σοβαρή βλάβη ή ζημία του Πανεπιστημίου, όταν του ζητηθεί αποκλειστικά και μόνο από την ΤΥΒ.</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widowControl w:val="0"/>
              <w:spacing w:line="360" w:lineRule="auto"/>
              <w:ind w:firstLine="284"/>
              <w:jc w:val="center"/>
              <w:rPr>
                <w:szCs w:val="22"/>
              </w:rPr>
            </w:pPr>
            <w:r w:rsidRPr="00867D41">
              <w:rPr>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eastAsia="Calibri" w:hAnsi="Verdana" w:cs="Arial"/>
                <w:i/>
                <w:sz w:val="20"/>
                <w:szCs w:val="20"/>
                <w:highlight w:val="yellow"/>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highlight w:val="yellow"/>
              </w:rPr>
            </w:pP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5.</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rPr>
                <w:szCs w:val="22"/>
                <w:lang w:val="el-GR"/>
              </w:rPr>
            </w:pPr>
            <w:r w:rsidRPr="00867D41">
              <w:rPr>
                <w:szCs w:val="22"/>
                <w:lang w:val="el-GR"/>
              </w:rPr>
              <w:t>Θα ενημερώνει σε τακτά χρονικά διαστήματα την ΤΥΒ για τις τρέχουσες ανάγκες σε υλικά / ανταλλακτικά</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widowControl w:val="0"/>
              <w:spacing w:line="360" w:lineRule="auto"/>
              <w:ind w:firstLine="284"/>
              <w:jc w:val="center"/>
              <w:rPr>
                <w:szCs w:val="22"/>
              </w:rPr>
            </w:pPr>
            <w:r w:rsidRPr="00867D41">
              <w:rPr>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eastAsia="Calibri" w:hAnsi="Verdana" w:cs="Arial"/>
                <w:i/>
                <w:sz w:val="20"/>
                <w:szCs w:val="20"/>
                <w:highlight w:val="yellow"/>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highlight w:val="yellow"/>
              </w:rPr>
            </w:pPr>
          </w:p>
        </w:tc>
      </w:tr>
      <w:tr w:rsidR="00374039" w:rsidRPr="00867D41" w:rsidTr="0044766B">
        <w:tc>
          <w:tcPr>
            <w:tcW w:w="918"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pStyle w:val="Default"/>
              <w:spacing w:before="120" w:after="120" w:line="360" w:lineRule="auto"/>
              <w:ind w:firstLine="284"/>
              <w:jc w:val="both"/>
              <w:rPr>
                <w:rFonts w:ascii="Calibri" w:hAnsi="Calibri" w:cs="Calibri"/>
                <w:sz w:val="22"/>
                <w:szCs w:val="22"/>
              </w:rPr>
            </w:pPr>
            <w:r w:rsidRPr="00867D41">
              <w:rPr>
                <w:rFonts w:ascii="Calibri" w:hAnsi="Calibri" w:cs="Calibri"/>
                <w:sz w:val="22"/>
                <w:szCs w:val="22"/>
              </w:rPr>
              <w:t>6.</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rsidR="00374039" w:rsidRPr="00867D41" w:rsidRDefault="00374039" w:rsidP="0044766B">
            <w:pPr>
              <w:rPr>
                <w:b/>
                <w:bCs/>
                <w:szCs w:val="22"/>
                <w:lang w:val="el-GR"/>
              </w:rPr>
            </w:pPr>
            <w:r w:rsidRPr="00867D41">
              <w:rPr>
                <w:szCs w:val="22"/>
                <w:lang w:val="el-GR"/>
              </w:rPr>
              <w:t xml:space="preserve">Να μπορεί να παραδίδει στην ΤΥΒ (εφόσον του ζητείται) μονογραμμικά </w:t>
            </w:r>
            <w:proofErr w:type="spellStart"/>
            <w:r w:rsidRPr="00867D41">
              <w:rPr>
                <w:szCs w:val="22"/>
                <w:lang w:val="el-GR"/>
              </w:rPr>
              <w:t>σχέδία</w:t>
            </w:r>
            <w:proofErr w:type="spellEnd"/>
            <w:r w:rsidRPr="00867D41">
              <w:rPr>
                <w:szCs w:val="22"/>
                <w:lang w:val="el-GR"/>
              </w:rPr>
              <w:t>/σκαριφήματα των επισκευών και μεταβολών που πραγματοποιεί στα δίκτυα του ΓΠΑ</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039" w:rsidRPr="00867D41" w:rsidRDefault="00374039" w:rsidP="0044766B">
            <w:pPr>
              <w:widowControl w:val="0"/>
              <w:spacing w:line="360" w:lineRule="auto"/>
              <w:ind w:firstLine="284"/>
              <w:jc w:val="center"/>
              <w:rPr>
                <w:szCs w:val="22"/>
              </w:rPr>
            </w:pPr>
            <w:r w:rsidRPr="00867D41">
              <w:rPr>
                <w:szCs w:val="22"/>
              </w:rPr>
              <w:t>ΝΑΙ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eastAsia="Calibri" w:hAnsi="Verdana" w:cs="Arial"/>
                <w:i/>
                <w:sz w:val="20"/>
                <w:szCs w:val="20"/>
                <w:highlight w:val="yellow"/>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374039" w:rsidRPr="00867D41" w:rsidRDefault="00374039" w:rsidP="0044766B">
            <w:pPr>
              <w:pStyle w:val="Default"/>
              <w:spacing w:before="120" w:after="120" w:line="360" w:lineRule="auto"/>
              <w:ind w:firstLine="284"/>
              <w:jc w:val="both"/>
              <w:rPr>
                <w:rFonts w:ascii="Verdana" w:hAnsi="Verdana" w:cs="Arial"/>
                <w:i/>
                <w:sz w:val="20"/>
                <w:szCs w:val="20"/>
                <w:highlight w:val="yellow"/>
              </w:rPr>
            </w:pPr>
          </w:p>
        </w:tc>
      </w:tr>
    </w:tbl>
    <w:p w:rsidR="00374039" w:rsidRDefault="00374039" w:rsidP="00374039">
      <w:pPr>
        <w:rPr>
          <w:b/>
          <w:color w:val="000000"/>
          <w:szCs w:val="22"/>
          <w:lang w:val="el-GR"/>
        </w:rPr>
      </w:pPr>
    </w:p>
    <w:p w:rsidR="00374039" w:rsidRDefault="00374039" w:rsidP="00374039">
      <w:pPr>
        <w:rPr>
          <w:b/>
          <w:color w:val="000000"/>
          <w:szCs w:val="22"/>
          <w:lang w:val="el-GR"/>
        </w:rPr>
      </w:pPr>
    </w:p>
    <w:p w:rsidR="00374039" w:rsidRDefault="00374039" w:rsidP="00374039">
      <w:pPr>
        <w:jc w:val="center"/>
        <w:rPr>
          <w:b/>
          <w:color w:val="000000"/>
          <w:szCs w:val="22"/>
          <w:lang w:val="el-GR"/>
        </w:rPr>
      </w:pPr>
      <w:r>
        <w:rPr>
          <w:b/>
          <w:color w:val="000000"/>
          <w:szCs w:val="22"/>
          <w:lang w:val="el-GR"/>
        </w:rPr>
        <w:t>Σφραγίδα και υπογραφή του συμμετέχοντα στο Διαγωνισμό</w:t>
      </w:r>
    </w:p>
    <w:p w:rsidR="00374039" w:rsidRDefault="00374039" w:rsidP="00374039">
      <w:pPr>
        <w:jc w:val="center"/>
        <w:rPr>
          <w:b/>
          <w:color w:val="000000"/>
          <w:szCs w:val="22"/>
          <w:lang w:val="el-GR"/>
        </w:rPr>
      </w:pPr>
    </w:p>
    <w:p w:rsidR="00374039" w:rsidRDefault="00374039" w:rsidP="00374039">
      <w:pPr>
        <w:rPr>
          <w:b/>
          <w:color w:val="000000"/>
          <w:szCs w:val="22"/>
          <w:lang w:val="el-GR"/>
        </w:rPr>
      </w:pPr>
    </w:p>
    <w:p w:rsidR="00374039" w:rsidRDefault="00374039" w:rsidP="00374039">
      <w:pPr>
        <w:rPr>
          <w:b/>
          <w:color w:val="000000"/>
          <w:szCs w:val="22"/>
          <w:lang w:val="el-GR"/>
        </w:rPr>
      </w:pPr>
    </w:p>
    <w:p w:rsidR="00374039" w:rsidRDefault="00374039" w:rsidP="00374039">
      <w:pPr>
        <w:pStyle w:val="Default"/>
        <w:spacing w:before="120" w:after="120"/>
        <w:jc w:val="both"/>
        <w:rPr>
          <w:rFonts w:ascii="Calibri" w:hAnsi="Calibri" w:cs="Calibri"/>
          <w:sz w:val="20"/>
          <w:szCs w:val="20"/>
        </w:rPr>
      </w:pPr>
    </w:p>
    <w:p w:rsidR="00374039" w:rsidRPr="0078184C" w:rsidRDefault="00374039" w:rsidP="00374039">
      <w:pPr>
        <w:pStyle w:val="Default"/>
        <w:spacing w:before="120" w:after="120"/>
        <w:jc w:val="both"/>
        <w:rPr>
          <w:rFonts w:ascii="Calibri" w:hAnsi="Calibri" w:cs="Calibri"/>
          <w:sz w:val="20"/>
          <w:szCs w:val="20"/>
        </w:rPr>
      </w:pPr>
    </w:p>
    <w:p w:rsidR="00374039" w:rsidRDefault="00374039" w:rsidP="00374039">
      <w:pPr>
        <w:suppressAutoHyphens w:val="0"/>
        <w:spacing w:after="200" w:line="276" w:lineRule="auto"/>
        <w:jc w:val="left"/>
        <w:rPr>
          <w:szCs w:val="22"/>
          <w:lang w:val="el-GR"/>
        </w:rPr>
      </w:pPr>
      <w:r w:rsidRPr="00595533">
        <w:rPr>
          <w:szCs w:val="22"/>
          <w:lang w:val="el-GR"/>
        </w:rPr>
        <w:br w:type="page"/>
      </w:r>
    </w:p>
    <w:p w:rsidR="00374039" w:rsidRDefault="00374039" w:rsidP="00374039">
      <w:pPr>
        <w:pStyle w:val="normalwithoutspacing"/>
        <w:ind w:right="-1"/>
        <w:rPr>
          <w:szCs w:val="22"/>
        </w:rPr>
      </w:pPr>
    </w:p>
    <w:p w:rsidR="00374039" w:rsidRDefault="00374039" w:rsidP="00374039">
      <w:pPr>
        <w:pStyle w:val="normalwithoutspacing"/>
        <w:ind w:right="-1"/>
        <w:rPr>
          <w:szCs w:val="22"/>
        </w:rPr>
      </w:pPr>
    </w:p>
    <w:p w:rsidR="00374039" w:rsidRDefault="00374039" w:rsidP="00374039">
      <w:pPr>
        <w:pStyle w:val="normalwithoutspacing"/>
        <w:ind w:right="-1"/>
        <w:rPr>
          <w:szCs w:val="22"/>
        </w:rPr>
      </w:pPr>
    </w:p>
    <w:p w:rsidR="00374039" w:rsidRPr="00351916" w:rsidRDefault="00374039" w:rsidP="00374039">
      <w:pPr>
        <w:spacing w:line="0" w:lineRule="atLeast"/>
        <w:ind w:left="7" w:right="-1"/>
        <w:rPr>
          <w:rFonts w:ascii="Arial" w:eastAsia="Arial" w:hAnsi="Arial"/>
          <w:b/>
          <w:color w:val="333399"/>
          <w:sz w:val="28"/>
          <w:lang w:val="el-GR"/>
        </w:rPr>
      </w:pPr>
      <w:bookmarkStart w:id="1" w:name="_GoBack"/>
      <w:bookmarkEnd w:id="1"/>
      <w:r w:rsidRPr="00351916">
        <w:rPr>
          <w:rFonts w:ascii="Arial" w:eastAsia="Arial" w:hAnsi="Arial"/>
          <w:b/>
          <w:color w:val="333399"/>
          <w:sz w:val="28"/>
          <w:lang w:val="el-GR"/>
        </w:rPr>
        <w:t>Οδηγίες συμπλήρωσης φύλλων συμμόρφωσης</w:t>
      </w:r>
    </w:p>
    <w:p w:rsidR="00374039" w:rsidRPr="00351916" w:rsidRDefault="00374039" w:rsidP="00374039">
      <w:pPr>
        <w:spacing w:line="271" w:lineRule="exact"/>
        <w:ind w:right="-1"/>
        <w:rPr>
          <w:rFonts w:ascii="Times New Roman" w:hAnsi="Times New Roman"/>
        </w:rPr>
      </w:pPr>
      <w:r>
        <w:rPr>
          <w:rFonts w:ascii="Arial" w:eastAsia="Arial" w:hAnsi="Arial"/>
          <w:b/>
          <w:noProof/>
          <w:color w:val="333399"/>
          <w:sz w:val="28"/>
          <w:lang w:val="el-GR" w:eastAsia="el-GR"/>
        </w:rPr>
        <w:drawing>
          <wp:anchor distT="0" distB="0" distL="114300" distR="114300" simplePos="0" relativeHeight="251660288" behindDoc="1" locked="0" layoutInCell="0" allowOverlap="1">
            <wp:simplePos x="0" y="0"/>
            <wp:positionH relativeFrom="column">
              <wp:posOffset>-17780</wp:posOffset>
            </wp:positionH>
            <wp:positionV relativeFrom="paragraph">
              <wp:posOffset>16510</wp:posOffset>
            </wp:positionV>
            <wp:extent cx="5437505" cy="27305"/>
            <wp:effectExtent l="19050" t="0" r="0" b="0"/>
            <wp:wrapNone/>
            <wp:docPr id="2"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cstate="print"/>
                    <a:srcRect/>
                    <a:stretch>
                      <a:fillRect/>
                    </a:stretch>
                  </pic:blipFill>
                  <pic:spPr bwMode="auto">
                    <a:xfrm>
                      <a:off x="0" y="0"/>
                      <a:ext cx="5437505" cy="27305"/>
                    </a:xfrm>
                    <a:prstGeom prst="rect">
                      <a:avLst/>
                    </a:prstGeom>
                    <a:noFill/>
                    <a:ln w="9525">
                      <a:noFill/>
                      <a:miter lim="800000"/>
                      <a:headEnd/>
                      <a:tailEnd/>
                    </a:ln>
                  </pic:spPr>
                </pic:pic>
              </a:graphicData>
            </a:graphic>
          </wp:anchor>
        </w:drawing>
      </w:r>
    </w:p>
    <w:p w:rsidR="00374039" w:rsidRPr="00351916" w:rsidRDefault="00374039" w:rsidP="00374039">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374039" w:rsidRPr="003133CB" w:rsidRDefault="00374039" w:rsidP="00374039">
      <w:pPr>
        <w:spacing w:line="169" w:lineRule="exact"/>
        <w:ind w:right="-1"/>
        <w:rPr>
          <w:lang w:val="el-GR"/>
        </w:rPr>
      </w:pPr>
    </w:p>
    <w:p w:rsidR="00374039" w:rsidRPr="003133CB" w:rsidRDefault="00374039" w:rsidP="00374039">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374039" w:rsidRPr="003133CB" w:rsidRDefault="00374039" w:rsidP="00374039">
      <w:pPr>
        <w:spacing w:line="171" w:lineRule="exact"/>
        <w:ind w:right="-1"/>
        <w:rPr>
          <w:lang w:val="el-GR"/>
        </w:rPr>
      </w:pPr>
    </w:p>
    <w:p w:rsidR="00374039" w:rsidRDefault="00374039" w:rsidP="00374039">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Το αντίστοιχο σημείο τεκμηρίωσης επάνω στην προσφορά (φυλλάδιο κλπ) θα πρέπει να είναι μαρκαρισμένο.</w:t>
      </w:r>
    </w:p>
    <w:p w:rsidR="00374039" w:rsidRDefault="00374039" w:rsidP="00374039">
      <w:pPr>
        <w:pStyle w:val="a3"/>
        <w:rPr>
          <w:lang w:val="el-GR"/>
        </w:rPr>
      </w:pPr>
    </w:p>
    <w:p w:rsidR="00374039" w:rsidRPr="00681059" w:rsidRDefault="00374039" w:rsidP="00374039">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374039" w:rsidRPr="00E07DA5" w:rsidRDefault="00374039" w:rsidP="00374039">
      <w:pPr>
        <w:spacing w:line="171" w:lineRule="exact"/>
        <w:ind w:right="-1"/>
        <w:rPr>
          <w:highlight w:val="yellow"/>
          <w:lang w:val="el-GR"/>
        </w:rPr>
      </w:pPr>
    </w:p>
    <w:p w:rsidR="00374039" w:rsidRPr="005C4A0C" w:rsidRDefault="00374039" w:rsidP="00374039">
      <w:pPr>
        <w:spacing w:line="260" w:lineRule="exact"/>
        <w:ind w:right="-1"/>
        <w:rPr>
          <w:rFonts w:ascii="Times New Roman" w:hAnsi="Times New Roman"/>
          <w:highlight w:val="yellow"/>
          <w:lang w:val="el-GR"/>
        </w:rPr>
      </w:pPr>
    </w:p>
    <w:p w:rsidR="00374039" w:rsidRPr="00374039" w:rsidRDefault="00374039" w:rsidP="00374039">
      <w:pPr>
        <w:rPr>
          <w:lang w:val="el-GR"/>
        </w:rPr>
      </w:pPr>
      <w:r>
        <w:rPr>
          <w:lang w:val="el-GR"/>
        </w:rPr>
        <w:br w:type="page"/>
      </w:r>
    </w:p>
    <w:sectPr w:rsidR="00374039" w:rsidRPr="00374039" w:rsidSect="006F2BF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imes-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74039"/>
    <w:rsid w:val="00374039"/>
    <w:rsid w:val="00565424"/>
    <w:rsid w:val="006F2BF3"/>
    <w:rsid w:val="00790D6E"/>
    <w:rsid w:val="009309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03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74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374039"/>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74039"/>
    <w:rPr>
      <w:rFonts w:ascii="Arial" w:eastAsia="Times New Roman" w:hAnsi="Arial" w:cs="Times New Roman"/>
      <w:b/>
      <w:color w:val="002060"/>
      <w:sz w:val="24"/>
      <w:lang w:val="en-GB" w:eastAsia="zh-CN"/>
    </w:rPr>
  </w:style>
  <w:style w:type="paragraph" w:styleId="a3">
    <w:name w:val="List Paragraph"/>
    <w:basedOn w:val="a"/>
    <w:uiPriority w:val="34"/>
    <w:qFormat/>
    <w:rsid w:val="00374039"/>
    <w:pPr>
      <w:spacing w:after="200"/>
      <w:ind w:left="720"/>
      <w:contextualSpacing/>
    </w:pPr>
  </w:style>
  <w:style w:type="paragraph" w:customStyle="1" w:styleId="Default">
    <w:name w:val="Default"/>
    <w:rsid w:val="0037403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normalwithoutspacing">
    <w:name w:val="normal_without_spacing"/>
    <w:basedOn w:val="a"/>
    <w:rsid w:val="00374039"/>
    <w:pPr>
      <w:spacing w:after="60"/>
    </w:pPr>
    <w:rPr>
      <w:lang w:val="el-GR"/>
    </w:rPr>
  </w:style>
  <w:style w:type="character" w:customStyle="1" w:styleId="1Char">
    <w:name w:val="Επικεφαλίδα 1 Char"/>
    <w:basedOn w:val="a0"/>
    <w:link w:val="1"/>
    <w:uiPriority w:val="9"/>
    <w:rsid w:val="0037403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3391</Characters>
  <Application>Microsoft Office Word</Application>
  <DocSecurity>0</DocSecurity>
  <Lines>28</Lines>
  <Paragraphs>8</Paragraphs>
  <ScaleCrop>false</ScaleCrop>
  <Company>Grizli777</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2019-05-13T12:41:00Z</dcterms:created>
  <dcterms:modified xsi:type="dcterms:W3CDTF">2019-05-13T12:41:00Z</dcterms:modified>
</cp:coreProperties>
</file>