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58" w:rsidRPr="000C4284" w:rsidRDefault="007B2558" w:rsidP="007B2558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1509986"/>
      <w:r>
        <w:rPr>
          <w:lang w:val="el-GR"/>
        </w:rPr>
        <w:t>ΠΑΡΑΡΤΗΜΑ ΙΙI – «Φύλλο Συμμόρφωσης»</w:t>
      </w:r>
      <w:bookmarkEnd w:id="0"/>
    </w:p>
    <w:p w:rsidR="007B2558" w:rsidRPr="00D47EF7" w:rsidRDefault="007B2558" w:rsidP="007B255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7B2558" w:rsidRPr="00AA5B2A" w:rsidRDefault="007B2558" w:rsidP="007B255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7B2558" w:rsidRDefault="007B2558" w:rsidP="007B2558">
      <w:pPr>
        <w:spacing w:after="0"/>
        <w:rPr>
          <w:b/>
          <w:sz w:val="20"/>
          <w:szCs w:val="20"/>
          <w:lang w:val="el-GR"/>
        </w:rPr>
      </w:pPr>
    </w:p>
    <w:p w:rsidR="007B2558" w:rsidRDefault="007B2558" w:rsidP="007B2558">
      <w:pPr>
        <w:spacing w:after="0"/>
        <w:rPr>
          <w:b/>
          <w:sz w:val="20"/>
          <w:szCs w:val="20"/>
          <w:lang w:val="el-GR"/>
        </w:rPr>
      </w:pPr>
    </w:p>
    <w:p w:rsidR="007B2558" w:rsidRDefault="007B2558" w:rsidP="007B2558">
      <w:pPr>
        <w:pStyle w:val="Default"/>
        <w:spacing w:before="120" w:after="120"/>
        <w:jc w:val="center"/>
        <w:rPr>
          <w:rFonts w:ascii="Verdana" w:hAnsi="Verdana"/>
          <w:b/>
          <w:i/>
          <w:sz w:val="20"/>
          <w:szCs w:val="22"/>
        </w:rPr>
      </w:pPr>
      <w:r w:rsidRPr="00F16DF2">
        <w:rPr>
          <w:rFonts w:ascii="Verdana" w:hAnsi="Verdana"/>
          <w:b/>
          <w:i/>
          <w:sz w:val="20"/>
          <w:szCs w:val="22"/>
        </w:rPr>
        <w:t>«Ετήσιος έλεγχος και πιστοποίηση ανελκυστήρων »</w:t>
      </w:r>
    </w:p>
    <w:p w:rsidR="007B2558" w:rsidRPr="00F341FD" w:rsidRDefault="007B2558" w:rsidP="007B255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 w:rsidRPr="00F341FD">
        <w:rPr>
          <w:rFonts w:ascii="Calibri" w:hAnsi="Calibri" w:cs="Calibri"/>
          <w:i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7B2558" w:rsidRPr="00F341FD" w:rsidRDefault="007B2558" w:rsidP="007B255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 w:rsidRPr="00F341FD">
        <w:rPr>
          <w:rFonts w:ascii="Calibri" w:hAnsi="Calibri" w:cs="Calibri"/>
          <w:i/>
          <w:sz w:val="22"/>
          <w:szCs w:val="22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7B2558" w:rsidRPr="00F341FD" w:rsidRDefault="007B2558" w:rsidP="007B2558">
      <w:pPr>
        <w:pStyle w:val="Default"/>
        <w:spacing w:before="120" w:after="120"/>
        <w:jc w:val="both"/>
        <w:rPr>
          <w:rFonts w:ascii="Calibri" w:eastAsia="Times New Roman" w:hAnsi="Calibri" w:cs="Calibri"/>
          <w:i/>
          <w:color w:val="auto"/>
          <w:sz w:val="22"/>
          <w:szCs w:val="22"/>
        </w:rPr>
      </w:pPr>
      <w:r w:rsidRPr="00F341FD">
        <w:rPr>
          <w:rFonts w:ascii="Calibri" w:hAnsi="Calibri" w:cs="Calibri"/>
          <w:i/>
          <w:sz w:val="22"/>
          <w:szCs w:val="22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F341FD">
        <w:rPr>
          <w:rFonts w:ascii="Calibri" w:eastAsia="Times New Roman" w:hAnsi="Calibri" w:cs="Calibri"/>
          <w:i/>
          <w:color w:val="auto"/>
          <w:sz w:val="22"/>
          <w:szCs w:val="22"/>
        </w:rPr>
        <w:t xml:space="preserve"> ένδειξη «ΟΧΙ». Σε περίπτωση που μένει κενή θεωρείται ότι η απάντηση είναι «ΟΧΙ». </w:t>
      </w:r>
    </w:p>
    <w:p w:rsidR="007B2558" w:rsidRPr="00F341FD" w:rsidRDefault="007B2558" w:rsidP="007B255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 w:rsidRPr="00F341FD">
        <w:rPr>
          <w:rFonts w:ascii="Calibri" w:hAnsi="Calibri" w:cs="Calibri"/>
          <w:i/>
          <w:sz w:val="22"/>
          <w:szCs w:val="22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p w:rsidR="007B2558" w:rsidRPr="00F341FD" w:rsidRDefault="007B2558" w:rsidP="007B255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144"/>
        <w:gridCol w:w="850"/>
        <w:gridCol w:w="846"/>
        <w:gridCol w:w="1818"/>
      </w:tblGrid>
      <w:tr w:rsidR="007B2558" w:rsidRPr="00F341FD" w:rsidTr="00854704">
        <w:trPr>
          <w:trHeight w:val="857"/>
        </w:trPr>
        <w:tc>
          <w:tcPr>
            <w:tcW w:w="918" w:type="dxa"/>
            <w:tcBorders>
              <w:bottom w:val="single" w:sz="4" w:space="0" w:color="auto"/>
            </w:tcBorders>
          </w:tcPr>
          <w:p w:rsidR="007B2558" w:rsidRPr="00F341FD" w:rsidRDefault="007B2558" w:rsidP="0085470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firstLine="284"/>
              <w:rPr>
                <w:rFonts w:eastAsia="Calibri"/>
                <w:b/>
                <w:szCs w:val="22"/>
                <w:lang w:val="el-GR" w:eastAsia="en-US"/>
              </w:rPr>
            </w:pPr>
            <w:r w:rsidRPr="00F341FD">
              <w:rPr>
                <w:rFonts w:eastAsia="Calibri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7B2558" w:rsidRPr="00F341FD" w:rsidRDefault="007B2558" w:rsidP="0085470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szCs w:val="22"/>
                <w:lang w:val="el-GR" w:eastAsia="en-US"/>
              </w:rPr>
            </w:pPr>
            <w:r w:rsidRPr="00F341FD">
              <w:rPr>
                <w:rFonts w:eastAsia="Calibri"/>
                <w:b/>
                <w:szCs w:val="22"/>
                <w:lang w:val="el-GR" w:eastAsia="en-US"/>
              </w:rPr>
              <w:t>ΠΡΟΔΙΑΓΡΑΦΗ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2558" w:rsidRPr="00F341FD" w:rsidRDefault="007B2558" w:rsidP="0085470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Cs w:val="22"/>
                <w:lang w:val="el-GR" w:eastAsia="en-US"/>
              </w:rPr>
            </w:pPr>
            <w:r w:rsidRPr="00F341FD">
              <w:rPr>
                <w:rFonts w:eastAsia="Calibri"/>
                <w:b/>
                <w:szCs w:val="22"/>
                <w:lang w:val="el-GR" w:eastAsia="en-US"/>
              </w:rPr>
              <w:t>ΑΠΑΙΤΗΣΗ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B2558" w:rsidRPr="00F341FD" w:rsidRDefault="007B2558" w:rsidP="0085470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b/>
                <w:szCs w:val="22"/>
                <w:lang w:val="el-GR" w:eastAsia="en-US"/>
              </w:rPr>
            </w:pPr>
            <w:r w:rsidRPr="00F341FD">
              <w:rPr>
                <w:rFonts w:eastAsia="Calibri"/>
                <w:b/>
                <w:szCs w:val="22"/>
                <w:lang w:val="el-GR" w:eastAsia="en-US"/>
              </w:rPr>
              <w:t>ΑΠΑΝΤΗΣΗ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B2558" w:rsidRPr="00F341FD" w:rsidRDefault="007B2558" w:rsidP="0085470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b/>
                <w:szCs w:val="22"/>
                <w:lang w:val="el-GR" w:eastAsia="en-US"/>
              </w:rPr>
            </w:pPr>
            <w:r w:rsidRPr="00F341FD">
              <w:rPr>
                <w:rFonts w:eastAsia="Calibri"/>
                <w:b/>
                <w:szCs w:val="22"/>
                <w:lang w:val="el-GR" w:eastAsia="en-US"/>
              </w:rPr>
              <w:t>ΠΑΡΑΠΟΜΠΗ ΤΕΚΜΗΡΙΩΣΗΣ</w:t>
            </w:r>
          </w:p>
        </w:tc>
      </w:tr>
      <w:tr w:rsidR="007B2558" w:rsidRPr="00F341FD" w:rsidTr="0085470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8" w:rsidRPr="00F341FD" w:rsidRDefault="007B2558" w:rsidP="0085470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i/>
                <w:szCs w:val="22"/>
                <w:lang w:val="el-GR" w:eastAsia="en-US"/>
              </w:rPr>
            </w:pPr>
            <w:r w:rsidRPr="00F341FD">
              <w:rPr>
                <w:rFonts w:eastAsia="Calibri"/>
                <w:i/>
                <w:szCs w:val="22"/>
                <w:lang w:val="el-GR" w:eastAsia="en-US"/>
              </w:rPr>
              <w:t>1.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8" w:rsidRPr="00F341FD" w:rsidRDefault="007B2558" w:rsidP="00854704">
            <w:pPr>
              <w:suppressAutoHyphens w:val="0"/>
              <w:spacing w:after="0"/>
              <w:jc w:val="left"/>
              <w:rPr>
                <w:rFonts w:eastAsia="Calibri"/>
                <w:i/>
                <w:szCs w:val="22"/>
                <w:lang w:val="el-GR" w:eastAsia="en-US"/>
              </w:rPr>
            </w:pPr>
            <w:r w:rsidRPr="00F341FD">
              <w:rPr>
                <w:rFonts w:eastAsia="Calibri"/>
                <w:i/>
                <w:szCs w:val="22"/>
                <w:lang w:val="el-GR" w:eastAsia="en-US"/>
              </w:rPr>
              <w:t xml:space="preserve">η επίσημη καταχώρηση του φορέα ως πιστοποιημένου φορέα </w:t>
            </w:r>
            <w:r w:rsidRPr="00F341FD">
              <w:rPr>
                <w:rFonts w:eastAsia="Calibri"/>
                <w:i/>
                <w:szCs w:val="22"/>
                <w:lang w:val="el-GR" w:eastAsia="en-US"/>
              </w:rPr>
              <w:br/>
              <w:t>(με αριθμό κοινοποίησης και αριθμό πιστοποιητικού από το ΕΣΥΔ).</w:t>
            </w:r>
          </w:p>
          <w:p w:rsidR="007B2558" w:rsidRPr="00F341FD" w:rsidRDefault="007B2558" w:rsidP="00854704">
            <w:pPr>
              <w:suppressAutoHyphens w:val="0"/>
              <w:spacing w:after="0"/>
              <w:rPr>
                <w:rFonts w:eastAsia="Calibri"/>
                <w:i/>
                <w:szCs w:val="22"/>
                <w:lang w:val="el-GR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58" w:rsidRPr="00F341FD" w:rsidRDefault="007B2558" w:rsidP="0085470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i/>
                <w:szCs w:val="22"/>
                <w:lang w:val="el-GR" w:eastAsia="en-US"/>
              </w:rPr>
            </w:pPr>
            <w:r w:rsidRPr="00F341FD">
              <w:rPr>
                <w:rFonts w:eastAsia="Calibri"/>
                <w:i/>
                <w:szCs w:val="22"/>
                <w:lang w:val="el-GR" w:eastAsia="en-US"/>
              </w:rPr>
              <w:t>ΝΑΙ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8" w:rsidRPr="00F341FD" w:rsidRDefault="007B2558" w:rsidP="0085470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i/>
                <w:szCs w:val="22"/>
                <w:lang w:val="el-GR"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8" w:rsidRPr="00F341FD" w:rsidRDefault="007B2558" w:rsidP="0085470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i/>
                <w:szCs w:val="22"/>
                <w:lang w:val="el-GR" w:eastAsia="en-US"/>
              </w:rPr>
            </w:pPr>
          </w:p>
        </w:tc>
      </w:tr>
    </w:tbl>
    <w:p w:rsidR="007B2558" w:rsidRPr="00F341FD" w:rsidRDefault="007B2558" w:rsidP="007B255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p w:rsidR="007B2558" w:rsidRPr="00F341FD" w:rsidRDefault="007B2558" w:rsidP="007B255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p w:rsidR="007B2558" w:rsidRPr="00F341FD" w:rsidRDefault="007B2558" w:rsidP="007B2558">
      <w:pPr>
        <w:pStyle w:val="Default"/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</w:p>
    <w:p w:rsidR="007B2558" w:rsidRPr="00345486" w:rsidRDefault="007B2558" w:rsidP="007B2558">
      <w:pPr>
        <w:spacing w:line="360" w:lineRule="auto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7B2558" w:rsidRPr="00517C5E" w:rsidRDefault="007B2558" w:rsidP="007B2558">
      <w:pPr>
        <w:jc w:val="center"/>
        <w:rPr>
          <w:rFonts w:ascii="Verdana" w:hAnsi="Verdana"/>
          <w:b/>
          <w:i/>
          <w:color w:val="000000"/>
          <w:sz w:val="20"/>
          <w:szCs w:val="20"/>
          <w:lang w:val="el-GR"/>
        </w:rPr>
      </w:pPr>
      <w:r w:rsidRPr="00517C5E">
        <w:rPr>
          <w:rFonts w:ascii="Verdana" w:hAnsi="Verdana"/>
          <w:b/>
          <w:i/>
          <w:color w:val="000000"/>
          <w:sz w:val="20"/>
          <w:szCs w:val="20"/>
          <w:lang w:val="el-GR"/>
        </w:rPr>
        <w:t>Σφραγίδα και υπογραφή του συμμετέχοντα στο Διαγωνισμό</w:t>
      </w:r>
    </w:p>
    <w:p w:rsidR="007B2558" w:rsidRPr="00517C5E" w:rsidRDefault="007B2558" w:rsidP="007B2558">
      <w:pPr>
        <w:spacing w:line="360" w:lineRule="auto"/>
        <w:ind w:left="2160" w:firstLine="720"/>
        <w:rPr>
          <w:rFonts w:ascii="Arial" w:hAnsi="Arial" w:cs="Arial"/>
          <w:b/>
          <w:u w:val="single"/>
          <w:lang w:val="el-GR"/>
        </w:rPr>
      </w:pPr>
    </w:p>
    <w:p w:rsidR="007B2558" w:rsidRPr="00D2472D" w:rsidRDefault="007B2558" w:rsidP="007B2558">
      <w:pPr>
        <w:spacing w:after="0"/>
        <w:rPr>
          <w:b/>
          <w:sz w:val="20"/>
          <w:szCs w:val="20"/>
          <w:lang w:val="el-GR"/>
        </w:rPr>
      </w:pPr>
    </w:p>
    <w:p w:rsidR="007B2558" w:rsidRDefault="007B2558" w:rsidP="007B2558">
      <w:pPr>
        <w:pStyle w:val="normalwithoutspacing"/>
        <w:ind w:right="-1"/>
        <w:rPr>
          <w:szCs w:val="22"/>
        </w:rPr>
      </w:pPr>
    </w:p>
    <w:p w:rsidR="007B2558" w:rsidRDefault="007B2558" w:rsidP="007B2558">
      <w:pPr>
        <w:pStyle w:val="normalwithoutspacing"/>
        <w:ind w:right="-1"/>
        <w:rPr>
          <w:szCs w:val="22"/>
        </w:rPr>
      </w:pPr>
    </w:p>
    <w:p w:rsidR="007B2558" w:rsidRDefault="007B2558" w:rsidP="007B2558">
      <w:pPr>
        <w:pStyle w:val="normalwithoutspacing"/>
        <w:ind w:right="-1"/>
        <w:rPr>
          <w:szCs w:val="22"/>
        </w:rPr>
      </w:pPr>
    </w:p>
    <w:p w:rsidR="007B2558" w:rsidRDefault="007B2558" w:rsidP="007B2558">
      <w:pPr>
        <w:suppressAutoHyphens w:val="0"/>
        <w:spacing w:after="200" w:line="276" w:lineRule="auto"/>
        <w:jc w:val="left"/>
        <w:rPr>
          <w:szCs w:val="22"/>
          <w:lang w:val="el-GR"/>
        </w:rPr>
      </w:pPr>
      <w:r w:rsidRPr="00595533">
        <w:rPr>
          <w:szCs w:val="22"/>
          <w:lang w:val="el-GR"/>
        </w:rPr>
        <w:br w:type="page"/>
      </w:r>
    </w:p>
    <w:p w:rsidR="007B2558" w:rsidRDefault="007B2558" w:rsidP="007B2558">
      <w:pPr>
        <w:pStyle w:val="normalwithoutspacing"/>
        <w:ind w:right="-1"/>
        <w:rPr>
          <w:szCs w:val="22"/>
        </w:rPr>
      </w:pPr>
    </w:p>
    <w:p w:rsidR="007B2558" w:rsidRDefault="007B2558" w:rsidP="007B2558">
      <w:pPr>
        <w:pStyle w:val="normalwithoutspacing"/>
        <w:ind w:right="-1"/>
        <w:rPr>
          <w:szCs w:val="22"/>
        </w:rPr>
      </w:pPr>
    </w:p>
    <w:p w:rsidR="007B2558" w:rsidRDefault="007B2558" w:rsidP="007B2558">
      <w:pPr>
        <w:pStyle w:val="normalwithoutspacing"/>
        <w:ind w:right="-1"/>
        <w:rPr>
          <w:szCs w:val="22"/>
        </w:rPr>
      </w:pPr>
    </w:p>
    <w:p w:rsidR="007B2558" w:rsidRPr="00351916" w:rsidRDefault="007B2558" w:rsidP="007B2558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r w:rsidRPr="00351916">
        <w:rPr>
          <w:rFonts w:ascii="Arial" w:eastAsia="Arial" w:hAnsi="Arial"/>
          <w:b/>
          <w:color w:val="333399"/>
          <w:sz w:val="28"/>
          <w:lang w:val="el-GR"/>
        </w:rPr>
        <w:t>Οδηγίες συμπλήρωσης φύλλων συμμόρφωσης</w:t>
      </w:r>
    </w:p>
    <w:p w:rsidR="007B2558" w:rsidRPr="00351916" w:rsidRDefault="007B2558" w:rsidP="007B2558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558" w:rsidRPr="00351916" w:rsidRDefault="007B2558" w:rsidP="007B2558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7B2558" w:rsidRPr="003133CB" w:rsidRDefault="007B2558" w:rsidP="007B2558">
      <w:pPr>
        <w:spacing w:line="169" w:lineRule="exact"/>
        <w:ind w:right="-1"/>
        <w:rPr>
          <w:lang w:val="el-GR"/>
        </w:rPr>
      </w:pPr>
    </w:p>
    <w:p w:rsidR="007B2558" w:rsidRPr="003133CB" w:rsidRDefault="007B2558" w:rsidP="007B2558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7B2558" w:rsidRPr="003133CB" w:rsidRDefault="007B2558" w:rsidP="007B2558">
      <w:pPr>
        <w:spacing w:line="171" w:lineRule="exact"/>
        <w:ind w:right="-1"/>
        <w:rPr>
          <w:lang w:val="el-GR"/>
        </w:rPr>
      </w:pPr>
    </w:p>
    <w:p w:rsidR="007B2558" w:rsidRDefault="007B2558" w:rsidP="007B2558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:rsidR="007B2558" w:rsidRDefault="007B2558" w:rsidP="007B2558">
      <w:pPr>
        <w:pStyle w:val="ListParagraph"/>
        <w:rPr>
          <w:lang w:val="el-GR"/>
        </w:rPr>
      </w:pPr>
    </w:p>
    <w:p w:rsidR="007B2558" w:rsidRPr="00681059" w:rsidRDefault="007B2558" w:rsidP="007B2558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7B2558" w:rsidRPr="00E07DA5" w:rsidRDefault="007B2558" w:rsidP="007B2558">
      <w:pPr>
        <w:spacing w:line="171" w:lineRule="exact"/>
        <w:ind w:right="-1"/>
        <w:rPr>
          <w:highlight w:val="yellow"/>
          <w:lang w:val="el-GR"/>
        </w:rPr>
      </w:pPr>
    </w:p>
    <w:p w:rsidR="007B2558" w:rsidRPr="005C4A0C" w:rsidRDefault="007B2558" w:rsidP="007B2558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:rsidR="009C2981" w:rsidRPr="007B2558" w:rsidRDefault="007B2558" w:rsidP="007B2558">
      <w:pPr>
        <w:rPr>
          <w:lang w:val="el-GR"/>
        </w:rPr>
      </w:pPr>
      <w:r>
        <w:rPr>
          <w:lang w:val="el-GR"/>
        </w:rPr>
        <w:br w:type="page"/>
      </w:r>
      <w:bookmarkStart w:id="1" w:name="_GoBack"/>
      <w:bookmarkEnd w:id="1"/>
    </w:p>
    <w:sectPr w:rsidR="009C2981" w:rsidRPr="007B255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altName w:val="Arial Narrow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58"/>
    <w:rsid w:val="007B2558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2762699-C25D-4E9E-A638-26CBC949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5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7B255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7B25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7B2558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B2558"/>
    <w:pPr>
      <w:spacing w:after="200"/>
      <w:ind w:left="720"/>
      <w:contextualSpacing/>
    </w:pPr>
  </w:style>
  <w:style w:type="paragraph" w:customStyle="1" w:styleId="Default">
    <w:name w:val="Default"/>
    <w:rsid w:val="007B255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7B2558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7B25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2018-12-07T10:36:00Z</dcterms:created>
  <dcterms:modified xsi:type="dcterms:W3CDTF">2018-12-07T10:37:00Z</dcterms:modified>
</cp:coreProperties>
</file>