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61067E" w:rsidRDefault="0061067E"/>
    <w:p w:rsidR="0061067E" w:rsidRPr="000C4284" w:rsidRDefault="0061067E" w:rsidP="0061067E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31182999"/>
      <w:r>
        <w:rPr>
          <w:lang w:val="el-GR"/>
        </w:rPr>
        <w:t>ΠΑΡΑΡΤΗΜΑ ΙΙI – «Φύλλο Συμμόρφωσης»</w:t>
      </w:r>
      <w:bookmarkEnd w:id="0"/>
    </w:p>
    <w:p w:rsidR="0061067E" w:rsidRPr="00D47EF7" w:rsidRDefault="0061067E" w:rsidP="0061067E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61067E" w:rsidRPr="00AA5B2A" w:rsidRDefault="0061067E" w:rsidP="0061067E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61067E" w:rsidRDefault="0061067E" w:rsidP="0061067E">
      <w:pPr>
        <w:spacing w:after="0"/>
        <w:rPr>
          <w:b/>
          <w:sz w:val="20"/>
          <w:szCs w:val="20"/>
          <w:lang w:val="el-GR"/>
        </w:rPr>
      </w:pPr>
    </w:p>
    <w:p w:rsidR="0061067E" w:rsidRDefault="0061067E" w:rsidP="0061067E">
      <w:pPr>
        <w:spacing w:after="0"/>
        <w:rPr>
          <w:b/>
          <w:sz w:val="20"/>
          <w:szCs w:val="20"/>
          <w:lang w:val="el-GR"/>
        </w:rPr>
      </w:pPr>
    </w:p>
    <w:p w:rsidR="0061067E" w:rsidRDefault="0061067E" w:rsidP="0061067E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CE03B5">
        <w:rPr>
          <w:rFonts w:ascii="Verdana" w:hAnsi="Verdana" w:cs="Times-Bold"/>
          <w:b/>
          <w:bCs/>
          <w:i/>
          <w:sz w:val="20"/>
          <w:szCs w:val="26"/>
        </w:rPr>
        <w:t xml:space="preserve">Προληπτική &amp; Επισκευαστική συντήρηση και Τεχνική υποστήριξη με αναλώσιμα των ανελκυστήρων του ΓΠΑ 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61067E" w:rsidRPr="00345486" w:rsidRDefault="0061067E" w:rsidP="0061067E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61067E" w:rsidRPr="00345486" w:rsidRDefault="0061067E" w:rsidP="0061067E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61067E" w:rsidRPr="00345486" w:rsidRDefault="0061067E" w:rsidP="0061067E">
      <w:pPr>
        <w:pStyle w:val="Default"/>
        <w:spacing w:before="120" w:after="120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345486">
        <w:rPr>
          <w:rFonts w:ascii="Verdana" w:eastAsia="Times New Roman" w:hAnsi="Verdana"/>
          <w:i/>
          <w:color w:val="auto"/>
          <w:sz w:val="20"/>
          <w:szCs w:val="20"/>
        </w:rPr>
        <w:t xml:space="preserve"> ένδειξη «ΟΧΙ». Σε περίπτωση που μένει κενή θεωρείται ότι η απάντηση είναι «ΟΧΙ». </w:t>
      </w:r>
    </w:p>
    <w:p w:rsidR="0061067E" w:rsidRPr="00345486" w:rsidRDefault="0061067E" w:rsidP="0061067E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4860"/>
        <w:gridCol w:w="1134"/>
        <w:gridCol w:w="846"/>
        <w:gridCol w:w="1818"/>
      </w:tblGrid>
      <w:tr w:rsidR="0061067E" w:rsidRPr="00090EE3" w:rsidTr="00A76D8B">
        <w:trPr>
          <w:trHeight w:val="857"/>
        </w:trPr>
        <w:tc>
          <w:tcPr>
            <w:tcW w:w="918" w:type="dxa"/>
          </w:tcPr>
          <w:p w:rsidR="0061067E" w:rsidRPr="00C3320F" w:rsidRDefault="0061067E" w:rsidP="00A76D8B">
            <w:pPr>
              <w:pStyle w:val="Default"/>
              <w:spacing w:before="120" w:after="120"/>
              <w:ind w:firstLine="284"/>
              <w:jc w:val="both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Α/Α</w:t>
            </w:r>
          </w:p>
        </w:tc>
        <w:tc>
          <w:tcPr>
            <w:tcW w:w="4860" w:type="dxa"/>
          </w:tcPr>
          <w:p w:rsidR="0061067E" w:rsidRPr="00C3320F" w:rsidRDefault="0061067E" w:rsidP="00A76D8B">
            <w:pPr>
              <w:pStyle w:val="Default"/>
              <w:spacing w:before="120" w:after="120"/>
              <w:jc w:val="both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ΠΡΟΔΙΑΓΡΑΦΗ</w:t>
            </w:r>
          </w:p>
        </w:tc>
        <w:tc>
          <w:tcPr>
            <w:tcW w:w="1134" w:type="dxa"/>
          </w:tcPr>
          <w:p w:rsidR="0061067E" w:rsidRPr="00C3320F" w:rsidRDefault="0061067E" w:rsidP="00A76D8B">
            <w:pPr>
              <w:pStyle w:val="Default"/>
              <w:spacing w:before="120" w:after="120"/>
              <w:jc w:val="center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ΑΠΑΙΤΗΣΗ</w:t>
            </w:r>
          </w:p>
        </w:tc>
        <w:tc>
          <w:tcPr>
            <w:tcW w:w="846" w:type="dxa"/>
          </w:tcPr>
          <w:p w:rsidR="0061067E" w:rsidRPr="00C3320F" w:rsidRDefault="0061067E" w:rsidP="00A76D8B">
            <w:pPr>
              <w:pStyle w:val="Default"/>
              <w:spacing w:before="120" w:after="120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ΑΠΑΝΤΗΣΗ</w:t>
            </w:r>
          </w:p>
        </w:tc>
        <w:tc>
          <w:tcPr>
            <w:tcW w:w="1818" w:type="dxa"/>
          </w:tcPr>
          <w:p w:rsidR="0061067E" w:rsidRPr="00C3320F" w:rsidRDefault="0061067E" w:rsidP="00A76D8B">
            <w:pPr>
              <w:pStyle w:val="Default"/>
              <w:spacing w:before="120" w:after="120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ΠΑΡΑΠΟΜΠΗ ΤΕΚΜΗΡΙΩΣΗΣ</w:t>
            </w:r>
          </w:p>
        </w:tc>
      </w:tr>
      <w:tr w:rsidR="0061067E" w:rsidRPr="00090EE3" w:rsidTr="00A76D8B">
        <w:tc>
          <w:tcPr>
            <w:tcW w:w="918" w:type="dxa"/>
          </w:tcPr>
          <w:p w:rsidR="0061067E" w:rsidRPr="00626A3F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626A3F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1.</w:t>
            </w:r>
          </w:p>
        </w:tc>
        <w:tc>
          <w:tcPr>
            <w:tcW w:w="4860" w:type="dxa"/>
          </w:tcPr>
          <w:p w:rsidR="0061067E" w:rsidRPr="00626A3F" w:rsidRDefault="0061067E" w:rsidP="00A76D8B">
            <w:pPr>
              <w:rPr>
                <w:i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>Εν ισχύ,</w:t>
            </w:r>
            <w:r w:rsidRPr="00626A3F" w:rsidDel="00CE03B5">
              <w:rPr>
                <w:i/>
                <w:iCs/>
                <w:szCs w:val="22"/>
                <w:lang w:val="el-GR"/>
              </w:rPr>
              <w:t xml:space="preserve"> </w:t>
            </w:r>
            <w:r w:rsidRPr="00626A3F">
              <w:rPr>
                <w:i/>
                <w:iCs/>
                <w:szCs w:val="22"/>
                <w:lang w:val="el-GR"/>
              </w:rPr>
              <w:t xml:space="preserve">απλό αντίγραφο της άδειας συντήρησης του συνεργείου ανελκυστήρων, </w:t>
            </w:r>
          </w:p>
        </w:tc>
        <w:tc>
          <w:tcPr>
            <w:tcW w:w="1134" w:type="dxa"/>
            <w:vAlign w:val="center"/>
          </w:tcPr>
          <w:p w:rsidR="0061067E" w:rsidRPr="00626A3F" w:rsidRDefault="0061067E" w:rsidP="00A76D8B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626A3F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ΝΑΙ</w:t>
            </w:r>
          </w:p>
        </w:tc>
        <w:tc>
          <w:tcPr>
            <w:tcW w:w="846" w:type="dxa"/>
          </w:tcPr>
          <w:p w:rsidR="0061067E" w:rsidRPr="00626A3F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</w:rPr>
            </w:pPr>
          </w:p>
        </w:tc>
        <w:tc>
          <w:tcPr>
            <w:tcW w:w="1818" w:type="dxa"/>
          </w:tcPr>
          <w:p w:rsidR="0061067E" w:rsidRPr="00090EE3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</w:rPr>
            </w:pPr>
          </w:p>
        </w:tc>
      </w:tr>
      <w:tr w:rsidR="0061067E" w:rsidRPr="00090EE3" w:rsidTr="00A76D8B">
        <w:tc>
          <w:tcPr>
            <w:tcW w:w="918" w:type="dxa"/>
          </w:tcPr>
          <w:p w:rsidR="0061067E" w:rsidRPr="00626A3F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val="en-US"/>
              </w:rPr>
            </w:pPr>
            <w:r w:rsidRPr="00626A3F">
              <w:rPr>
                <w:rFonts w:ascii="Calibri" w:hAnsi="Calibri" w:cs="Calibri"/>
                <w:i/>
                <w:color w:val="auto"/>
                <w:sz w:val="22"/>
                <w:szCs w:val="22"/>
                <w:lang w:val="en-US"/>
              </w:rPr>
              <w:t>2.</w:t>
            </w:r>
          </w:p>
        </w:tc>
        <w:tc>
          <w:tcPr>
            <w:tcW w:w="4860" w:type="dxa"/>
          </w:tcPr>
          <w:p w:rsidR="0061067E" w:rsidRPr="00626A3F" w:rsidRDefault="0061067E" w:rsidP="00A76D8B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Βεβαίωση θεωρημένη από το Μητρώο Συντήρησης που τηρεί η αρμόδια παραπάνω διεύθυνση με τα πλήρη στοιχεία της άδειας του τεχνικού συνεργείου και τυχόν πράξεις επιβολής κυρώσεων. Θα πρέπει αναλυτικά να φαίνεται κατά το χρόνο του διαγωνισμού: πόσα συνεργεία έχει η διαγωνιζόμενη εταιρεία, πόσοι ανελκυστήρες είναι χρεωμένοι σε κάθε συνεργείο, ποιο συνεργείο θα αναλάβει την συντήρηση – υποστήριξη του πανεπιστημίου. </w:t>
            </w:r>
          </w:p>
          <w:p w:rsidR="0061067E" w:rsidRPr="00626A3F" w:rsidRDefault="0061067E" w:rsidP="00A76D8B">
            <w:pPr>
              <w:rPr>
                <w:bCs/>
                <w:i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1067E" w:rsidRPr="00626A3F" w:rsidRDefault="0061067E" w:rsidP="00A76D8B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626A3F"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ΝΑΙ</w:t>
            </w:r>
          </w:p>
        </w:tc>
        <w:tc>
          <w:tcPr>
            <w:tcW w:w="846" w:type="dxa"/>
          </w:tcPr>
          <w:p w:rsidR="0061067E" w:rsidRPr="00626A3F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</w:rPr>
            </w:pPr>
          </w:p>
        </w:tc>
        <w:tc>
          <w:tcPr>
            <w:tcW w:w="1818" w:type="dxa"/>
          </w:tcPr>
          <w:p w:rsidR="0061067E" w:rsidRPr="00090EE3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</w:rPr>
            </w:pPr>
          </w:p>
        </w:tc>
      </w:tr>
      <w:tr w:rsidR="0061067E" w:rsidRPr="00090EE3" w:rsidTr="00A76D8B">
        <w:tc>
          <w:tcPr>
            <w:tcW w:w="918" w:type="dxa"/>
          </w:tcPr>
          <w:p w:rsidR="0061067E" w:rsidRPr="00626A3F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val="en-US"/>
              </w:rPr>
            </w:pPr>
            <w:r w:rsidRPr="00626A3F">
              <w:rPr>
                <w:rFonts w:ascii="Calibri" w:hAnsi="Calibri" w:cs="Calibri"/>
                <w:i/>
                <w:color w:val="auto"/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4860" w:type="dxa"/>
          </w:tcPr>
          <w:p w:rsidR="0061067E" w:rsidRPr="00626A3F" w:rsidRDefault="0061067E" w:rsidP="00A76D8B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Πιστοποιητικό </w:t>
            </w:r>
            <w:r w:rsidRPr="00626A3F">
              <w:rPr>
                <w:i/>
                <w:iCs/>
                <w:szCs w:val="22"/>
              </w:rPr>
              <w:t>ISO</w:t>
            </w:r>
            <w:r w:rsidRPr="00626A3F">
              <w:rPr>
                <w:i/>
                <w:iCs/>
                <w:szCs w:val="22"/>
                <w:lang w:val="el-GR"/>
              </w:rPr>
              <w:t>9001:2008, σε ισχύ, για την εγκατάσταση και συντήρηση ανελκυστήρων προσώπων.</w:t>
            </w:r>
          </w:p>
          <w:p w:rsidR="0061067E" w:rsidRPr="00626A3F" w:rsidRDefault="0061067E" w:rsidP="00A76D8B">
            <w:pPr>
              <w:rPr>
                <w:b/>
                <w:bCs/>
                <w:i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1067E" w:rsidRPr="00626A3F" w:rsidRDefault="0061067E" w:rsidP="00A76D8B">
            <w:pPr>
              <w:widowControl w:val="0"/>
              <w:spacing w:line="360" w:lineRule="auto"/>
              <w:ind w:firstLine="284"/>
              <w:jc w:val="center"/>
              <w:rPr>
                <w:i/>
                <w:szCs w:val="22"/>
              </w:rPr>
            </w:pPr>
            <w:r w:rsidRPr="00626A3F">
              <w:rPr>
                <w:i/>
                <w:szCs w:val="22"/>
              </w:rPr>
              <w:t>ΝΑΙ</w:t>
            </w:r>
          </w:p>
        </w:tc>
        <w:tc>
          <w:tcPr>
            <w:tcW w:w="846" w:type="dxa"/>
          </w:tcPr>
          <w:p w:rsidR="0061067E" w:rsidRPr="00626A3F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818" w:type="dxa"/>
          </w:tcPr>
          <w:p w:rsidR="0061067E" w:rsidRPr="00090EE3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61067E" w:rsidRPr="00090EE3" w:rsidTr="00A76D8B">
        <w:tc>
          <w:tcPr>
            <w:tcW w:w="918" w:type="dxa"/>
          </w:tcPr>
          <w:p w:rsidR="0061067E" w:rsidRPr="00626A3F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626A3F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4.</w:t>
            </w:r>
          </w:p>
        </w:tc>
        <w:tc>
          <w:tcPr>
            <w:tcW w:w="4860" w:type="dxa"/>
          </w:tcPr>
          <w:p w:rsidR="0061067E" w:rsidRPr="00626A3F" w:rsidRDefault="0061067E" w:rsidP="00A76D8B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Πιστοποιητικό </w:t>
            </w:r>
            <w:r w:rsidRPr="00626A3F">
              <w:rPr>
                <w:i/>
                <w:iCs/>
                <w:szCs w:val="22"/>
              </w:rPr>
              <w:t>ISO</w:t>
            </w:r>
            <w:r w:rsidRPr="00626A3F">
              <w:rPr>
                <w:i/>
                <w:iCs/>
                <w:szCs w:val="22"/>
                <w:lang w:val="el-GR"/>
              </w:rPr>
              <w:t xml:space="preserve">14001:2004, σε ισχύ, για την Περιβαλλοντική Διαχείριση </w:t>
            </w:r>
          </w:p>
          <w:p w:rsidR="0061067E" w:rsidRPr="00626A3F" w:rsidDel="00CE03B5" w:rsidRDefault="0061067E" w:rsidP="00A76D8B">
            <w:pPr>
              <w:rPr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1067E" w:rsidRPr="00626A3F" w:rsidRDefault="0061067E" w:rsidP="00A76D8B">
            <w:pPr>
              <w:widowControl w:val="0"/>
              <w:spacing w:line="360" w:lineRule="auto"/>
              <w:ind w:firstLine="284"/>
              <w:jc w:val="center"/>
              <w:rPr>
                <w:i/>
                <w:szCs w:val="22"/>
              </w:rPr>
            </w:pPr>
            <w:r w:rsidRPr="00626A3F">
              <w:rPr>
                <w:i/>
                <w:szCs w:val="22"/>
              </w:rPr>
              <w:t>ΝΑΙ</w:t>
            </w:r>
          </w:p>
        </w:tc>
        <w:tc>
          <w:tcPr>
            <w:tcW w:w="846" w:type="dxa"/>
          </w:tcPr>
          <w:p w:rsidR="0061067E" w:rsidRPr="00626A3F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818" w:type="dxa"/>
          </w:tcPr>
          <w:p w:rsidR="0061067E" w:rsidRPr="00090EE3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61067E" w:rsidRPr="00090EE3" w:rsidTr="00A76D8B">
        <w:tc>
          <w:tcPr>
            <w:tcW w:w="918" w:type="dxa"/>
          </w:tcPr>
          <w:p w:rsidR="0061067E" w:rsidRPr="00626A3F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626A3F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5.</w:t>
            </w:r>
          </w:p>
        </w:tc>
        <w:tc>
          <w:tcPr>
            <w:tcW w:w="4860" w:type="dxa"/>
          </w:tcPr>
          <w:p w:rsidR="0061067E" w:rsidRPr="00626A3F" w:rsidRDefault="0061067E" w:rsidP="00A76D8B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Πιστοποιητικό </w:t>
            </w:r>
            <w:r w:rsidRPr="00626A3F">
              <w:rPr>
                <w:i/>
                <w:iCs/>
                <w:szCs w:val="22"/>
              </w:rPr>
              <w:t>OHSAS</w:t>
            </w:r>
            <w:r w:rsidRPr="00626A3F">
              <w:rPr>
                <w:i/>
                <w:iCs/>
                <w:szCs w:val="22"/>
                <w:lang w:val="el-GR"/>
              </w:rPr>
              <w:t xml:space="preserve"> 18001:2007, σε ισχύ, για την Υγιεινή και Ασφάλεια </w:t>
            </w:r>
          </w:p>
          <w:p w:rsidR="0061067E" w:rsidRPr="00626A3F" w:rsidDel="00CE03B5" w:rsidRDefault="0061067E" w:rsidP="00A76D8B">
            <w:pPr>
              <w:rPr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1067E" w:rsidRPr="00626A3F" w:rsidRDefault="0061067E" w:rsidP="00A76D8B">
            <w:pPr>
              <w:widowControl w:val="0"/>
              <w:spacing w:line="360" w:lineRule="auto"/>
              <w:ind w:firstLine="284"/>
              <w:jc w:val="center"/>
              <w:rPr>
                <w:i/>
                <w:szCs w:val="22"/>
              </w:rPr>
            </w:pPr>
            <w:r w:rsidRPr="00626A3F">
              <w:rPr>
                <w:i/>
                <w:szCs w:val="22"/>
              </w:rPr>
              <w:t>ΝΑΙ</w:t>
            </w:r>
          </w:p>
        </w:tc>
        <w:tc>
          <w:tcPr>
            <w:tcW w:w="846" w:type="dxa"/>
          </w:tcPr>
          <w:p w:rsidR="0061067E" w:rsidRPr="00626A3F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818" w:type="dxa"/>
          </w:tcPr>
          <w:p w:rsidR="0061067E" w:rsidRPr="00090EE3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61067E" w:rsidRPr="00090EE3" w:rsidTr="00A76D8B">
        <w:tc>
          <w:tcPr>
            <w:tcW w:w="918" w:type="dxa"/>
          </w:tcPr>
          <w:p w:rsidR="0061067E" w:rsidRPr="00626A3F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626A3F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6.</w:t>
            </w:r>
          </w:p>
        </w:tc>
        <w:tc>
          <w:tcPr>
            <w:tcW w:w="4860" w:type="dxa"/>
          </w:tcPr>
          <w:p w:rsidR="0061067E" w:rsidRPr="00626A3F" w:rsidRDefault="0061067E" w:rsidP="00A76D8B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>Υπεύθυνη Δήλωση του Ν. 1599/1986, όπως εκάστοτε ισχύει, στην οποία θα δηλώνεται ότι:</w:t>
            </w:r>
          </w:p>
          <w:p w:rsidR="0061067E" w:rsidRPr="00626A3F" w:rsidRDefault="0061067E" w:rsidP="00A76D8B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α) θα τηρηθεί ρητά και απαρέγκλιτα η τεχνική περιγραφή – προδιαγραφές του έργου </w:t>
            </w:r>
          </w:p>
          <w:p w:rsidR="0061067E" w:rsidRPr="00626A3F" w:rsidRDefault="0061067E" w:rsidP="00A76D8B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β) ότι διαθέτει κέντρο αποδοχής αναγγελίας βλαβών </w:t>
            </w:r>
          </w:p>
          <w:p w:rsidR="0061067E" w:rsidRPr="00626A3F" w:rsidRDefault="0061067E" w:rsidP="00A76D8B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γ) θα χρησιμοποιήσει εργατικό προσωπικό, που διαθέτει εμπειρία και ικανότητα, έτσι όπως προβλέπεται από το νόμο </w:t>
            </w:r>
          </w:p>
          <w:p w:rsidR="0061067E" w:rsidRPr="00626A3F" w:rsidRDefault="0061067E" w:rsidP="00A76D8B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δ) το εργατικό προσωπικό θα εργάζεται νομίμως στην Ελλάδα και θα είναι εκπληρωμένες όλες οι υποχρεώσεις του εργοδότη προς τους εργαζομένους (μισθοί, ασφαλιστικές εισφορές)  και </w:t>
            </w:r>
          </w:p>
          <w:p w:rsidR="0061067E" w:rsidRPr="00626A3F" w:rsidRDefault="0061067E" w:rsidP="00A76D8B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 xml:space="preserve">ε)σε περίπτωση που απαιτηθεί η δημιουργία νέου συνεργείου για την υποστήριξη του πανεπιστημίου, τότε αυτό θα συγκροτηθεί επίσημα πριν από την υπογραφή της σύμβασης. </w:t>
            </w:r>
          </w:p>
          <w:p w:rsidR="0061067E" w:rsidRPr="00626A3F" w:rsidDel="00CE03B5" w:rsidRDefault="0061067E" w:rsidP="00A76D8B">
            <w:pPr>
              <w:rPr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1067E" w:rsidRPr="00626A3F" w:rsidRDefault="0061067E" w:rsidP="00A76D8B">
            <w:pPr>
              <w:widowControl w:val="0"/>
              <w:spacing w:line="360" w:lineRule="auto"/>
              <w:ind w:firstLine="284"/>
              <w:jc w:val="center"/>
              <w:rPr>
                <w:i/>
                <w:szCs w:val="22"/>
              </w:rPr>
            </w:pPr>
            <w:r w:rsidRPr="00626A3F">
              <w:rPr>
                <w:i/>
                <w:szCs w:val="22"/>
              </w:rPr>
              <w:t>ΝΑΙ</w:t>
            </w:r>
          </w:p>
        </w:tc>
        <w:tc>
          <w:tcPr>
            <w:tcW w:w="846" w:type="dxa"/>
          </w:tcPr>
          <w:p w:rsidR="0061067E" w:rsidRPr="00626A3F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818" w:type="dxa"/>
          </w:tcPr>
          <w:p w:rsidR="0061067E" w:rsidRPr="00090EE3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61067E" w:rsidRPr="00090EE3" w:rsidTr="00A76D8B">
        <w:tc>
          <w:tcPr>
            <w:tcW w:w="918" w:type="dxa"/>
          </w:tcPr>
          <w:p w:rsidR="0061067E" w:rsidRPr="00626A3F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4860" w:type="dxa"/>
          </w:tcPr>
          <w:p w:rsidR="0061067E" w:rsidRPr="00626A3F" w:rsidRDefault="0061067E" w:rsidP="00A76D8B">
            <w:pPr>
              <w:spacing w:line="360" w:lineRule="auto"/>
              <w:rPr>
                <w:i/>
                <w:iCs/>
                <w:szCs w:val="22"/>
                <w:lang w:val="el-GR"/>
              </w:rPr>
            </w:pPr>
            <w:r w:rsidRPr="00626A3F">
              <w:rPr>
                <w:i/>
                <w:iCs/>
                <w:szCs w:val="22"/>
                <w:lang w:val="el-GR"/>
              </w:rPr>
              <w:t>Τρείς τουλάχιστον Βεβαιώσεις καλής εκτέλεσης, από δημόσιους ή ιδιωτικούς φορείς, για ετήσια προληπτική συντήρηση τουλάχιστον 10 ανελκυστήρων ανά φορέα</w:t>
            </w:r>
            <w:r w:rsidRPr="00626A3F" w:rsidDel="00BB49F0">
              <w:rPr>
                <w:i/>
                <w:iCs/>
                <w:szCs w:val="22"/>
                <w:lang w:val="el-GR"/>
              </w:rPr>
              <w:t xml:space="preserve"> </w:t>
            </w:r>
          </w:p>
          <w:p w:rsidR="0061067E" w:rsidRPr="00626A3F" w:rsidRDefault="0061067E" w:rsidP="00A76D8B">
            <w:pPr>
              <w:tabs>
                <w:tab w:val="left" w:pos="426"/>
              </w:tabs>
              <w:ind w:right="-43"/>
              <w:rPr>
                <w:i/>
                <w:iCs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1067E" w:rsidRPr="00626A3F" w:rsidRDefault="0061067E" w:rsidP="00A76D8B">
            <w:pPr>
              <w:widowControl w:val="0"/>
              <w:spacing w:line="360" w:lineRule="auto"/>
              <w:ind w:firstLine="284"/>
              <w:jc w:val="center"/>
              <w:rPr>
                <w:i/>
                <w:szCs w:val="22"/>
              </w:rPr>
            </w:pPr>
            <w:r w:rsidRPr="00626A3F">
              <w:rPr>
                <w:i/>
                <w:szCs w:val="22"/>
              </w:rPr>
              <w:t>ΝΑΙ</w:t>
            </w:r>
          </w:p>
        </w:tc>
        <w:tc>
          <w:tcPr>
            <w:tcW w:w="846" w:type="dxa"/>
          </w:tcPr>
          <w:p w:rsidR="0061067E" w:rsidRPr="00626A3F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i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818" w:type="dxa"/>
          </w:tcPr>
          <w:p w:rsidR="0061067E" w:rsidRPr="00090EE3" w:rsidRDefault="0061067E" w:rsidP="00A76D8B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</w:tbl>
    <w:p w:rsidR="0061067E" w:rsidRPr="00345486" w:rsidRDefault="0061067E" w:rsidP="0061067E">
      <w:pPr>
        <w:spacing w:line="360" w:lineRule="auto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61067E" w:rsidRPr="00517C5E" w:rsidRDefault="0061067E" w:rsidP="0061067E">
      <w:pPr>
        <w:jc w:val="center"/>
        <w:rPr>
          <w:rFonts w:ascii="Verdana" w:hAnsi="Verdana"/>
          <w:b/>
          <w:i/>
          <w:color w:val="000000"/>
          <w:sz w:val="20"/>
          <w:szCs w:val="20"/>
          <w:lang w:val="el-GR"/>
        </w:rPr>
      </w:pPr>
      <w:r w:rsidRPr="00517C5E">
        <w:rPr>
          <w:rFonts w:ascii="Verdana" w:hAnsi="Verdana"/>
          <w:b/>
          <w:i/>
          <w:color w:val="000000"/>
          <w:sz w:val="20"/>
          <w:szCs w:val="20"/>
          <w:lang w:val="el-GR"/>
        </w:rPr>
        <w:t>Σφραγίδα και υπογραφή του συμμετέχοντα στο Διαγωνισμό</w:t>
      </w:r>
    </w:p>
    <w:p w:rsidR="0061067E" w:rsidRPr="00517C5E" w:rsidRDefault="0061067E" w:rsidP="0061067E">
      <w:pPr>
        <w:spacing w:line="360" w:lineRule="auto"/>
        <w:ind w:left="2160" w:firstLine="720"/>
        <w:rPr>
          <w:rFonts w:ascii="Arial" w:hAnsi="Arial" w:cs="Arial"/>
          <w:b/>
          <w:u w:val="single"/>
          <w:lang w:val="el-GR"/>
        </w:rPr>
      </w:pPr>
    </w:p>
    <w:p w:rsidR="0061067E" w:rsidRPr="00D2472D" w:rsidRDefault="0061067E" w:rsidP="0061067E">
      <w:pPr>
        <w:spacing w:after="0"/>
        <w:rPr>
          <w:b/>
          <w:sz w:val="20"/>
          <w:szCs w:val="20"/>
          <w:lang w:val="el-GR"/>
        </w:rPr>
      </w:pPr>
    </w:p>
    <w:p w:rsidR="0061067E" w:rsidRDefault="0061067E" w:rsidP="0061067E">
      <w:pPr>
        <w:pStyle w:val="normalwithoutspacing"/>
        <w:ind w:right="-1"/>
        <w:rPr>
          <w:szCs w:val="22"/>
        </w:rPr>
      </w:pPr>
    </w:p>
    <w:p w:rsidR="0061067E" w:rsidRDefault="0061067E" w:rsidP="0061067E">
      <w:pPr>
        <w:pStyle w:val="normalwithoutspacing"/>
        <w:ind w:right="-1"/>
        <w:rPr>
          <w:szCs w:val="22"/>
        </w:rPr>
      </w:pPr>
    </w:p>
    <w:p w:rsidR="0061067E" w:rsidRDefault="0061067E" w:rsidP="0061067E">
      <w:pPr>
        <w:pStyle w:val="normalwithoutspacing"/>
        <w:ind w:right="-1"/>
        <w:rPr>
          <w:szCs w:val="22"/>
        </w:rPr>
      </w:pPr>
    </w:p>
    <w:p w:rsidR="0061067E" w:rsidRDefault="0061067E" w:rsidP="0061067E">
      <w:pPr>
        <w:suppressAutoHyphens w:val="0"/>
        <w:spacing w:after="200" w:line="276" w:lineRule="auto"/>
        <w:jc w:val="left"/>
        <w:rPr>
          <w:szCs w:val="22"/>
          <w:lang w:val="el-GR"/>
        </w:rPr>
      </w:pPr>
      <w:r w:rsidRPr="00595533">
        <w:rPr>
          <w:szCs w:val="22"/>
          <w:lang w:val="el-GR"/>
        </w:rPr>
        <w:br w:type="page"/>
      </w:r>
    </w:p>
    <w:p w:rsidR="0061067E" w:rsidRDefault="0061067E" w:rsidP="0061067E">
      <w:pPr>
        <w:pStyle w:val="normalwithoutspacing"/>
        <w:ind w:right="-1"/>
        <w:rPr>
          <w:szCs w:val="22"/>
        </w:rPr>
      </w:pPr>
    </w:p>
    <w:p w:rsidR="0061067E" w:rsidRDefault="0061067E" w:rsidP="0061067E">
      <w:pPr>
        <w:pStyle w:val="normalwithoutspacing"/>
        <w:ind w:right="-1"/>
        <w:rPr>
          <w:szCs w:val="22"/>
        </w:rPr>
      </w:pPr>
    </w:p>
    <w:p w:rsidR="0061067E" w:rsidRDefault="0061067E" w:rsidP="0061067E">
      <w:pPr>
        <w:pStyle w:val="normalwithoutspacing"/>
        <w:ind w:right="-1"/>
        <w:rPr>
          <w:szCs w:val="22"/>
        </w:rPr>
      </w:pPr>
    </w:p>
    <w:p w:rsidR="0061067E" w:rsidRPr="00351916" w:rsidRDefault="0061067E" w:rsidP="0061067E">
      <w:pPr>
        <w:spacing w:line="0" w:lineRule="atLeast"/>
        <w:ind w:left="7" w:right="-1"/>
        <w:rPr>
          <w:rFonts w:ascii="Arial" w:eastAsia="Arial" w:hAnsi="Arial"/>
          <w:b/>
          <w:color w:val="333399"/>
          <w:sz w:val="28"/>
          <w:lang w:val="el-GR"/>
        </w:rPr>
      </w:pPr>
      <w:bookmarkStart w:id="1" w:name="_GoBack"/>
      <w:bookmarkEnd w:id="1"/>
      <w:r w:rsidRPr="00351916">
        <w:rPr>
          <w:rFonts w:ascii="Arial" w:eastAsia="Arial" w:hAnsi="Arial"/>
          <w:b/>
          <w:color w:val="333399"/>
          <w:sz w:val="28"/>
          <w:lang w:val="el-GR"/>
        </w:rPr>
        <w:t>Οδηγίες συμπλήρωσης φύλλων συμμόρφωσης</w:t>
      </w:r>
    </w:p>
    <w:p w:rsidR="0061067E" w:rsidRPr="00351916" w:rsidRDefault="0061067E" w:rsidP="0061067E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  <w:lang w:val="el-GR" w:eastAsia="el-G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437505" cy="27305"/>
            <wp:effectExtent l="19050" t="0" r="0" b="0"/>
            <wp:wrapNone/>
            <wp:docPr id="2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67E" w:rsidRPr="00351916" w:rsidRDefault="0061067E" w:rsidP="0061067E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:rsidR="0061067E" w:rsidRPr="003133CB" w:rsidRDefault="0061067E" w:rsidP="0061067E">
      <w:pPr>
        <w:spacing w:line="169" w:lineRule="exact"/>
        <w:ind w:right="-1"/>
        <w:rPr>
          <w:lang w:val="el-GR"/>
        </w:rPr>
      </w:pPr>
    </w:p>
    <w:p w:rsidR="0061067E" w:rsidRPr="003133CB" w:rsidRDefault="0061067E" w:rsidP="0061067E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:rsidR="0061067E" w:rsidRPr="003133CB" w:rsidRDefault="0061067E" w:rsidP="0061067E">
      <w:pPr>
        <w:spacing w:line="171" w:lineRule="exact"/>
        <w:ind w:right="-1"/>
        <w:rPr>
          <w:lang w:val="el-GR"/>
        </w:rPr>
      </w:pPr>
    </w:p>
    <w:p w:rsidR="0061067E" w:rsidRDefault="0061067E" w:rsidP="0061067E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>». Το αντίστοιχο σημείο τεκμηρίωσης επάνω στην προσφορά (φυλλάδιο κλπ) θα πρέπει να είναι μαρκαρισμένο.</w:t>
      </w:r>
    </w:p>
    <w:p w:rsidR="0061067E" w:rsidRDefault="0061067E" w:rsidP="0061067E">
      <w:pPr>
        <w:pStyle w:val="a3"/>
        <w:rPr>
          <w:lang w:val="el-GR"/>
        </w:rPr>
      </w:pPr>
    </w:p>
    <w:p w:rsidR="0061067E" w:rsidRPr="00681059" w:rsidRDefault="0061067E" w:rsidP="0061067E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b/>
          <w:lang w:val="el-GR"/>
        </w:rPr>
      </w:pPr>
      <w:r w:rsidRPr="00681059">
        <w:rPr>
          <w:b/>
          <w:lang w:val="el-GR"/>
        </w:rPr>
        <w:t xml:space="preserve">Τα στοιχεία του φύλλου συμμόρφωσης να αναφέρονται υποχρεωτικά σε </w:t>
      </w:r>
      <w:proofErr w:type="spellStart"/>
      <w:r w:rsidRPr="00681059">
        <w:rPr>
          <w:b/>
          <w:lang w:val="el-GR"/>
        </w:rPr>
        <w:t>προσπέκτους</w:t>
      </w:r>
      <w:proofErr w:type="spellEnd"/>
      <w:r w:rsidRPr="00681059">
        <w:rPr>
          <w:b/>
          <w:lang w:val="el-GR"/>
        </w:rPr>
        <w:t xml:space="preserve">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προδιαγραφές.</w:t>
      </w:r>
    </w:p>
    <w:p w:rsidR="0061067E" w:rsidRPr="00E07DA5" w:rsidRDefault="0061067E" w:rsidP="0061067E">
      <w:pPr>
        <w:spacing w:line="171" w:lineRule="exact"/>
        <w:ind w:right="-1"/>
        <w:rPr>
          <w:highlight w:val="yellow"/>
          <w:lang w:val="el-GR"/>
        </w:rPr>
      </w:pPr>
    </w:p>
    <w:p w:rsidR="0061067E" w:rsidRPr="0061067E" w:rsidRDefault="0061067E">
      <w:pPr>
        <w:rPr>
          <w:lang w:val="el-GR"/>
        </w:rPr>
      </w:pPr>
    </w:p>
    <w:p w:rsidR="0061067E" w:rsidRPr="0061067E" w:rsidRDefault="0061067E">
      <w:pPr>
        <w:rPr>
          <w:lang w:val="el-GR"/>
        </w:rPr>
      </w:pPr>
    </w:p>
    <w:sectPr w:rsidR="0061067E" w:rsidRPr="0061067E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61067E"/>
    <w:rsid w:val="00507770"/>
    <w:rsid w:val="00565424"/>
    <w:rsid w:val="0061067E"/>
    <w:rsid w:val="006F2BF3"/>
    <w:rsid w:val="0079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7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10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1067E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1067E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61067E"/>
    <w:pPr>
      <w:spacing w:after="200"/>
      <w:ind w:left="720"/>
      <w:contextualSpacing/>
    </w:pPr>
  </w:style>
  <w:style w:type="paragraph" w:customStyle="1" w:styleId="Default">
    <w:name w:val="Default"/>
    <w:rsid w:val="0061067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61067E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10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3717</Characters>
  <Application>Microsoft Office Word</Application>
  <DocSecurity>0</DocSecurity>
  <Lines>30</Lines>
  <Paragraphs>8</Paragraphs>
  <ScaleCrop>false</ScaleCrop>
  <Company>Grizli777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2018-11-29T11:33:00Z</dcterms:created>
  <dcterms:modified xsi:type="dcterms:W3CDTF">2018-11-29T11:34:00Z</dcterms:modified>
</cp:coreProperties>
</file>