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DE7B" w14:textId="4BE6342B" w:rsidR="006F2BF3" w:rsidRDefault="006F2BF3"/>
    <w:p w14:paraId="39674DEE" w14:textId="77777777" w:rsidR="007D5E35" w:rsidRPr="00FA131F" w:rsidRDefault="007D5E35" w:rsidP="007D5E3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5253"/>
      <w:bookmarkStart w:id="1" w:name="_Toc68415775"/>
      <w:r>
        <w:rPr>
          <w:lang w:val="el-GR"/>
        </w:rPr>
        <w:t xml:space="preserve">ΠΑΡΑΡΤΗΜΑ ΙΙI – </w:t>
      </w:r>
      <w:r w:rsidRPr="00990510">
        <w:rPr>
          <w:lang w:val="el-GR"/>
        </w:rPr>
        <w:t>Φύλλο Συμμόρφωσης</w:t>
      </w:r>
      <w:bookmarkEnd w:id="1"/>
      <w:r w:rsidRPr="00FA131F">
        <w:rPr>
          <w:i/>
          <w:color w:val="5B9BD5"/>
          <w:lang w:val="el-GR"/>
        </w:rPr>
        <w:t xml:space="preserve"> </w:t>
      </w:r>
    </w:p>
    <w:p w14:paraId="4B25816C" w14:textId="77777777" w:rsidR="007D5E35" w:rsidRDefault="007D5E35" w:rsidP="007D5E35">
      <w:pPr>
        <w:pStyle w:val="normalwithoutspacing"/>
        <w:rPr>
          <w:i/>
          <w:color w:val="5B9BD5"/>
          <w:szCs w:val="22"/>
        </w:rPr>
      </w:pPr>
    </w:p>
    <w:p w14:paraId="78E2DD87" w14:textId="77777777" w:rsidR="007D5E35" w:rsidRPr="004B656A" w:rsidRDefault="007D5E35" w:rsidP="007D5E35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14:paraId="32598752" w14:textId="77777777" w:rsidR="007D5E35" w:rsidRPr="004B656A" w:rsidRDefault="007D5E35" w:rsidP="007D5E35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14:paraId="2FA91142" w14:textId="77777777" w:rsidR="007D5E35" w:rsidRDefault="007D5E35" w:rsidP="007D5E35">
      <w:pPr>
        <w:pStyle w:val="normalwithoutspacing"/>
        <w:spacing w:before="57" w:after="57"/>
        <w:rPr>
          <w:color w:val="5B9BD5"/>
          <w:szCs w:val="22"/>
        </w:rPr>
      </w:pPr>
    </w:p>
    <w:p w14:paraId="0407DADC" w14:textId="77777777" w:rsidR="007D5E35" w:rsidRPr="001E7E16" w:rsidRDefault="007D5E35" w:rsidP="007D5E35">
      <w:pPr>
        <w:rPr>
          <w:sz w:val="20"/>
          <w:szCs w:val="20"/>
          <w:highlight w:val="yellow"/>
          <w:lang w:val="el-GR" w:eastAsia="en-US"/>
        </w:rPr>
      </w:pPr>
      <w:r w:rsidRPr="004C02E6">
        <w:rPr>
          <w:szCs w:val="22"/>
          <w:lang w:val="el-GR"/>
        </w:rPr>
        <w:t xml:space="preserve">Του ανοικτού ηλεκτρονικού διαγωνισμού με ανοικτές διαδικασίες και κριτήριο αξιολόγησης την πλέον συμφέρουσα από οικονομική άποψη προσφορά βάσει τιμής για την προμήθεια </w:t>
      </w:r>
      <w:r w:rsidRPr="004C02E6">
        <w:rPr>
          <w:b/>
          <w:szCs w:val="22"/>
          <w:lang w:val="el-GR"/>
        </w:rPr>
        <w:t xml:space="preserve">«ΠΡΟΜΗΘΕΙΑ ΕΡΓΑΣΤΗΡΙΑΚΩΝ ΠΑΓΚΩΝ ΚΑΙ ΑΠΑΓΩΓΩΝ ΕΣΤΙΩΝ  ΓΙΑ ΤΙΣ ΑΝΑΓΚΕΣ ΤΟΥ ΕΡΓ. ΗΛΕΚΤΡΟΝΙΚΗΣ ΜΙΚΡΟΣΚΟΠΙΑΣ &amp; ΤΟΥ ΚΤΗΡΙΟΥ ΚΩΠΑΙΔΑΣ  ΤΟΥ ΓΠΑ»  </w:t>
      </w:r>
      <w:r w:rsidRPr="004C02E6">
        <w:rPr>
          <w:szCs w:val="22"/>
          <w:lang w:val="el-GR"/>
        </w:rPr>
        <w:t xml:space="preserve">σύμφωνα με την </w:t>
      </w:r>
      <w:r w:rsidRPr="004C02E6">
        <w:rPr>
          <w:lang w:val="el-GR"/>
        </w:rPr>
        <w:t xml:space="preserve">Αριθ. </w:t>
      </w:r>
      <w:proofErr w:type="spellStart"/>
      <w:r w:rsidRPr="00B96A80">
        <w:t>Πρωτ</w:t>
      </w:r>
      <w:proofErr w:type="spellEnd"/>
      <w:r w:rsidRPr="00B96A80">
        <w:t xml:space="preserve">. – </w:t>
      </w:r>
      <w:proofErr w:type="spellStart"/>
      <w:r w:rsidRPr="00B96A80">
        <w:t>Τεχνικής</w:t>
      </w:r>
      <w:proofErr w:type="spellEnd"/>
      <w:r w:rsidRPr="00B96A80">
        <w:t xml:space="preserve"> Υπ</w:t>
      </w:r>
      <w:proofErr w:type="spellStart"/>
      <w:r w:rsidRPr="00B96A80">
        <w:t>ηρεσί</w:t>
      </w:r>
      <w:proofErr w:type="spellEnd"/>
      <w:r w:rsidRPr="00B96A80">
        <w:t xml:space="preserve">ας 222/02.04.2021 </w:t>
      </w:r>
      <w:proofErr w:type="spellStart"/>
      <w:r>
        <w:rPr>
          <w:szCs w:val="22"/>
        </w:rPr>
        <w:t>Δ</w:t>
      </w:r>
      <w:r w:rsidRPr="00B96A80">
        <w:rPr>
          <w:szCs w:val="22"/>
        </w:rPr>
        <w:t>ι</w:t>
      </w:r>
      <w:proofErr w:type="spellEnd"/>
      <w:r w:rsidRPr="00B96A80">
        <w:rPr>
          <w:szCs w:val="22"/>
        </w:rPr>
        <w:t>ακήρυξη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78"/>
        <w:gridCol w:w="1149"/>
        <w:gridCol w:w="1552"/>
        <w:gridCol w:w="1466"/>
      </w:tblGrid>
      <w:tr w:rsidR="007D5E35" w:rsidRPr="001E7E16" w14:paraId="43C6C69F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125" w14:textId="77777777" w:rsidR="007D5E35" w:rsidRPr="004C4B55" w:rsidRDefault="007D5E35" w:rsidP="009D286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/</w:t>
            </w:r>
            <w:r w:rsidRPr="004C4B55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</w:p>
          <w:p w14:paraId="5EC11D42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E7E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ΠΡΟΔΙΑΓΡΑΦΗ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E8BA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296C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ΑΠΑΝΤΗΣΗ</w:t>
            </w:r>
          </w:p>
          <w:p w14:paraId="21B3E5D5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(ΝΑΙ/ΟΧΙ/ΥΠΕΡ)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ECE" w14:textId="77777777" w:rsidR="007D5E35" w:rsidRPr="004C4B55" w:rsidRDefault="007D5E35" w:rsidP="009D286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ΕΝΤΥΠΟ</w:t>
            </w:r>
          </w:p>
          <w:p w14:paraId="3FCA00D2" w14:textId="77777777" w:rsidR="007D5E35" w:rsidRPr="004C4B55" w:rsidRDefault="007D5E35" w:rsidP="009D286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ΥΛΙΚΟ ΠΑΡΑΠΟΜΠΗ/</w:t>
            </w:r>
          </w:p>
          <w:p w14:paraId="438E43AB" w14:textId="77777777" w:rsidR="007D5E35" w:rsidRPr="004C4B55" w:rsidRDefault="007D5E35" w:rsidP="009D2869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4C4B55">
              <w:rPr>
                <w:rFonts w:eastAsia="Calibri"/>
                <w:b/>
                <w:sz w:val="20"/>
                <w:szCs w:val="20"/>
                <w:lang w:val="el-GR"/>
              </w:rPr>
              <w:t>ΣΧΟΛΙΟ</w:t>
            </w:r>
          </w:p>
        </w:tc>
      </w:tr>
      <w:tr w:rsidR="007D5E35" w:rsidRPr="00A2776F" w14:paraId="12A69AD4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0E3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4C4B55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71D" w14:textId="77777777" w:rsidR="007D5E35" w:rsidRPr="004C4B5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l-GR" w:eastAsia="en-US"/>
              </w:rPr>
            </w:pPr>
            <w:r w:rsidRPr="004C4B55">
              <w:rPr>
                <w:sz w:val="20"/>
                <w:szCs w:val="20"/>
                <w:lang w:val="el-GR"/>
              </w:rPr>
              <w:t xml:space="preserve">Θα τηρηθεί απαρέγκλιτα η Τεχνική Περιγραφή και Τεχνικές Προδιαγραφές των άρθρων του Τιμολογίου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46C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89E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FBC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56399F3C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E17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F3D" w14:textId="77777777" w:rsidR="007D5E35" w:rsidRPr="004C4B5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szCs w:val="20"/>
                <w:lang w:val="el-GR"/>
              </w:rPr>
            </w:pPr>
            <w:r w:rsidRPr="00C73642">
              <w:rPr>
                <w:sz w:val="20"/>
                <w:lang w:val="el-GR"/>
              </w:rPr>
              <w:t xml:space="preserve">Ο </w:t>
            </w:r>
            <w:r>
              <w:rPr>
                <w:sz w:val="20"/>
                <w:lang w:val="el-GR"/>
              </w:rPr>
              <w:t>ε</w:t>
            </w:r>
            <w:r w:rsidRPr="00226F38">
              <w:rPr>
                <w:sz w:val="20"/>
                <w:lang w:val="el-GR"/>
              </w:rPr>
              <w:t xml:space="preserve">ργαστηριακός πάγκος με επιφάνεια εργασίας </w:t>
            </w:r>
            <w:proofErr w:type="spellStart"/>
            <w:r w:rsidRPr="00226F38">
              <w:rPr>
                <w:sz w:val="20"/>
                <w:lang w:val="el-GR"/>
              </w:rPr>
              <w:t>stoneware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r w:rsidRPr="00C73642">
              <w:rPr>
                <w:sz w:val="20"/>
                <w:lang w:val="el-GR"/>
              </w:rPr>
              <w:t xml:space="preserve">θα φέρει σήμανση CE και </w:t>
            </w:r>
            <w:r>
              <w:rPr>
                <w:sz w:val="20"/>
                <w:lang w:val="el-GR"/>
              </w:rPr>
              <w:t>θα κατατεθούν όλα τα σχετικά πιστοποιητικά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A8D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CA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347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72D80138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5D5" w14:textId="77777777" w:rsidR="007D5E3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1F2" w14:textId="77777777" w:rsidR="007D5E35" w:rsidRPr="00C73642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Το </w:t>
            </w:r>
            <w:r w:rsidRPr="00226F38">
              <w:rPr>
                <w:sz w:val="20"/>
                <w:lang w:val="el-GR"/>
              </w:rPr>
              <w:t xml:space="preserve">Ντουλάπι </w:t>
            </w:r>
            <w:proofErr w:type="spellStart"/>
            <w:r w:rsidRPr="00226F38">
              <w:rPr>
                <w:sz w:val="20"/>
                <w:lang w:val="el-GR"/>
              </w:rPr>
              <w:t>επίτοιχο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r w:rsidRPr="00C73642">
              <w:rPr>
                <w:sz w:val="20"/>
                <w:lang w:val="el-GR"/>
              </w:rPr>
              <w:t xml:space="preserve">θα φέρει σήμανση CE και </w:t>
            </w:r>
            <w:r>
              <w:rPr>
                <w:sz w:val="20"/>
                <w:lang w:val="el-GR"/>
              </w:rPr>
              <w:t>θα κατατεθούν όλα τα σχετικά πιστοποιητικά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43D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242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F9C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0E5E7BC5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178" w14:textId="77777777" w:rsidR="007D5E35" w:rsidRPr="004C4B5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9D1" w14:textId="71F612E9" w:rsidR="007D5E35" w:rsidRPr="004C4B5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lang w:val="el-GR"/>
              </w:rPr>
              <w:t xml:space="preserve">Η </w:t>
            </w:r>
            <w:proofErr w:type="spellStart"/>
            <w:r>
              <w:rPr>
                <w:sz w:val="20"/>
                <w:lang w:val="el-GR"/>
              </w:rPr>
              <w:t>απαγωγός</w:t>
            </w:r>
            <w:proofErr w:type="spellEnd"/>
            <w:r>
              <w:rPr>
                <w:sz w:val="20"/>
                <w:lang w:val="el-GR"/>
              </w:rPr>
              <w:t xml:space="preserve"> εστία </w:t>
            </w:r>
            <w:r w:rsidRPr="000D5A69">
              <w:rPr>
                <w:sz w:val="20"/>
                <w:lang w:val="el-GR"/>
              </w:rPr>
              <w:t xml:space="preserve"> θα </w:t>
            </w:r>
            <w:proofErr w:type="spellStart"/>
            <w:r w:rsidRPr="000D5A69">
              <w:rPr>
                <w:sz w:val="20"/>
                <w:lang w:val="el-GR"/>
              </w:rPr>
              <w:t>συνοδεύ</w:t>
            </w:r>
            <w:r>
              <w:rPr>
                <w:sz w:val="20"/>
                <w:lang w:val="el-GR"/>
              </w:rPr>
              <w:t>ε</w:t>
            </w:r>
            <w:r w:rsidRPr="000D5A69">
              <w:rPr>
                <w:sz w:val="20"/>
                <w:lang w:val="el-GR"/>
              </w:rPr>
              <w:t>νται</w:t>
            </w:r>
            <w:proofErr w:type="spellEnd"/>
            <w:r w:rsidRPr="000D5A69">
              <w:rPr>
                <w:sz w:val="20"/>
                <w:lang w:val="el-GR"/>
              </w:rPr>
              <w:t xml:space="preserve"> από εγχειρίδιο λειτουργίας και χρήσης, θα φέρ</w:t>
            </w:r>
            <w:r>
              <w:rPr>
                <w:sz w:val="20"/>
                <w:lang w:val="el-GR"/>
              </w:rPr>
              <w:t xml:space="preserve">ει </w:t>
            </w:r>
            <w:r w:rsidRPr="000D5A69">
              <w:rPr>
                <w:sz w:val="20"/>
                <w:lang w:val="el-GR"/>
              </w:rPr>
              <w:t xml:space="preserve"> σήμανση CE και </w:t>
            </w:r>
            <w:r w:rsidRPr="00C7364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θα κατατεθούν όλα τα σχετικά πιστοποιητικά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5A6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6EB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606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1701F770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FFDE" w14:textId="77777777" w:rsidR="007D5E3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68C" w14:textId="77777777" w:rsidR="007D5E3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Το </w:t>
            </w:r>
            <w:r w:rsidRPr="0002723B">
              <w:rPr>
                <w:sz w:val="20"/>
                <w:lang w:val="el-GR"/>
              </w:rPr>
              <w:t>Ντουλάπι φύλαξης χημικών ουσιών (οξέων / βάσεων), δίφυλλο χωρίς τζαμόπορτα</w:t>
            </w:r>
            <w:r>
              <w:rPr>
                <w:sz w:val="20"/>
                <w:lang w:val="el-GR"/>
              </w:rPr>
              <w:t xml:space="preserve"> </w:t>
            </w:r>
            <w:r w:rsidRPr="00C73642">
              <w:rPr>
                <w:sz w:val="20"/>
                <w:lang w:val="el-GR"/>
              </w:rPr>
              <w:t xml:space="preserve">θα φέρει σήμανση CE και </w:t>
            </w:r>
            <w:r>
              <w:rPr>
                <w:sz w:val="20"/>
                <w:lang w:val="el-GR"/>
              </w:rPr>
              <w:t>θα κατατεθούν όλα τα σχετικά πιστοποιητικά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5BF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C4C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404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49AB00D5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5270" w14:textId="77777777" w:rsidR="007D5E3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8DB" w14:textId="77777777" w:rsidR="007D5E3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Το </w:t>
            </w:r>
            <w:r w:rsidRPr="0002723B">
              <w:rPr>
                <w:sz w:val="20"/>
                <w:lang w:val="el-GR"/>
              </w:rPr>
              <w:t>Σύστημα καταιονισμού ύδατος (πλύσεως ματιών)</w:t>
            </w:r>
            <w:r>
              <w:rPr>
                <w:sz w:val="20"/>
                <w:lang w:val="el-GR"/>
              </w:rPr>
              <w:t xml:space="preserve"> </w:t>
            </w:r>
            <w:r w:rsidRPr="00C73642">
              <w:rPr>
                <w:sz w:val="20"/>
                <w:lang w:val="el-GR"/>
              </w:rPr>
              <w:t xml:space="preserve">θα φέρει σήμανση CE και </w:t>
            </w:r>
            <w:r>
              <w:rPr>
                <w:sz w:val="20"/>
                <w:lang w:val="el-GR"/>
              </w:rPr>
              <w:t>θα κατατεθούν όλα τα σχετικά πιστοποιητικά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F0D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93A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84D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139CE9E9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392" w14:textId="77777777" w:rsidR="007D5E3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9DD" w14:textId="77777777" w:rsidR="007D5E3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Το </w:t>
            </w:r>
            <w:r w:rsidRPr="0002723B">
              <w:rPr>
                <w:sz w:val="20"/>
                <w:lang w:val="el-GR"/>
              </w:rPr>
              <w:t>Τροχήλατο σκαμπό, χωρίς μπράτσα</w:t>
            </w:r>
            <w:r>
              <w:rPr>
                <w:sz w:val="20"/>
                <w:lang w:val="el-GR"/>
              </w:rPr>
              <w:t xml:space="preserve"> </w:t>
            </w:r>
            <w:r w:rsidRPr="00C73642">
              <w:rPr>
                <w:sz w:val="20"/>
                <w:lang w:val="el-GR"/>
              </w:rPr>
              <w:t xml:space="preserve">θα φέρει σήμανση CE και </w:t>
            </w:r>
            <w:r>
              <w:rPr>
                <w:sz w:val="20"/>
                <w:lang w:val="el-GR"/>
              </w:rPr>
              <w:t>θα κατατεθούν όλα τα σχετικά πιστοποιητικά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440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13C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74D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  <w:tr w:rsidR="007D5E35" w:rsidRPr="00A2776F" w14:paraId="23A37F77" w14:textId="77777777" w:rsidTr="009D28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752" w14:textId="77777777" w:rsidR="007D5E35" w:rsidRDefault="007D5E35" w:rsidP="009D28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6B2" w14:textId="77777777" w:rsidR="007D5E35" w:rsidRDefault="007D5E35" w:rsidP="009D28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Μετά την υπογραφή της σύμβασης και πριν την τοποθέτηση των προσφερόμενων </w:t>
            </w:r>
            <w:r>
              <w:rPr>
                <w:sz w:val="20"/>
                <w:lang w:val="el-GR"/>
              </w:rPr>
              <w:lastRenderedPageBreak/>
              <w:t>ειδών θα παραδοθούν στην Τεχνική Υπηρεσία του Ιδρύματος τεχνικοί φάκελοι όλων των υλικών με πλήρη στοιχεία των χαρακτηριστικών τους σύμφωνα με</w:t>
            </w:r>
            <w:r w:rsidRPr="00B75C87">
              <w:rPr>
                <w:sz w:val="20"/>
                <w:lang w:val="el-GR"/>
              </w:rPr>
              <w:t xml:space="preserve"> τους εκάστοτε κανονισμούς.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D18" w14:textId="77777777" w:rsidR="007D5E35" w:rsidRPr="004C4B55" w:rsidRDefault="007D5E35" w:rsidP="009D2869">
            <w:pPr>
              <w:spacing w:after="0"/>
              <w:jc w:val="center"/>
              <w:rPr>
                <w:rFonts w:eastAsia="Times New Roman,Bold"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E8F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0AB" w14:textId="77777777" w:rsidR="007D5E35" w:rsidRPr="004C4B55" w:rsidRDefault="007D5E35" w:rsidP="009D28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14:paraId="525DCEEC" w14:textId="77777777" w:rsidR="007D5E35" w:rsidRDefault="007D5E35" w:rsidP="007D5E35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14:paraId="73D813A4" w14:textId="77777777" w:rsidR="007D5E35" w:rsidRDefault="007D5E35" w:rsidP="007D5E35">
      <w:pPr>
        <w:spacing w:after="60"/>
        <w:rPr>
          <w:szCs w:val="22"/>
          <w:lang w:val="el-GR"/>
        </w:rPr>
      </w:pPr>
    </w:p>
    <w:p w14:paraId="43766799" w14:textId="77777777" w:rsidR="007D5E35" w:rsidRDefault="007D5E35" w:rsidP="007D5E35">
      <w:pPr>
        <w:spacing w:after="60"/>
        <w:rPr>
          <w:szCs w:val="22"/>
          <w:lang w:val="el-GR"/>
        </w:rPr>
      </w:pPr>
    </w:p>
    <w:p w14:paraId="30713D83" w14:textId="77777777" w:rsidR="007D5E35" w:rsidRPr="00042A0C" w:rsidRDefault="007D5E35" w:rsidP="007D5E35">
      <w:pPr>
        <w:pStyle w:val="a4"/>
        <w:rPr>
          <w:rStyle w:val="a3"/>
          <w:rFonts w:eastAsia="Arial"/>
          <w:b/>
        </w:rPr>
      </w:pPr>
      <w:proofErr w:type="spellStart"/>
      <w:r w:rsidRPr="00042A0C">
        <w:rPr>
          <w:rStyle w:val="a3"/>
          <w:rFonts w:eastAsia="Arial"/>
          <w:b/>
        </w:rPr>
        <w:t>Οδηγίες</w:t>
      </w:r>
      <w:proofErr w:type="spellEnd"/>
      <w:r w:rsidRPr="00042A0C">
        <w:rPr>
          <w:rStyle w:val="a3"/>
          <w:rFonts w:eastAsia="Arial"/>
          <w:b/>
        </w:rPr>
        <w:t xml:space="preserve"> </w:t>
      </w:r>
      <w:proofErr w:type="spellStart"/>
      <w:r w:rsidRPr="00042A0C">
        <w:rPr>
          <w:rStyle w:val="a3"/>
          <w:rFonts w:eastAsia="Arial"/>
          <w:b/>
        </w:rPr>
        <w:t>συμ</w:t>
      </w:r>
      <w:proofErr w:type="spellEnd"/>
      <w:r w:rsidRPr="00042A0C">
        <w:rPr>
          <w:rStyle w:val="a3"/>
          <w:rFonts w:eastAsia="Arial"/>
          <w:b/>
        </w:rPr>
        <w:t xml:space="preserve">πλήρωσης </w:t>
      </w:r>
      <w:proofErr w:type="spellStart"/>
      <w:r w:rsidRPr="00042A0C">
        <w:rPr>
          <w:rStyle w:val="a3"/>
          <w:rFonts w:eastAsia="Arial"/>
          <w:b/>
        </w:rPr>
        <w:t>φύλλων</w:t>
      </w:r>
      <w:proofErr w:type="spellEnd"/>
      <w:r w:rsidRPr="00042A0C">
        <w:rPr>
          <w:rStyle w:val="a3"/>
          <w:rFonts w:eastAsia="Arial"/>
          <w:b/>
        </w:rPr>
        <w:t xml:space="preserve"> </w:t>
      </w:r>
      <w:proofErr w:type="spellStart"/>
      <w:r w:rsidRPr="00042A0C">
        <w:rPr>
          <w:rStyle w:val="a3"/>
          <w:rFonts w:eastAsia="Arial"/>
          <w:b/>
        </w:rPr>
        <w:t>συμμόρφωσης</w:t>
      </w:r>
      <w:proofErr w:type="spellEnd"/>
    </w:p>
    <w:p w14:paraId="035197C5" w14:textId="0690D2A8" w:rsidR="007D5E35" w:rsidRPr="00351916" w:rsidRDefault="007D5E35" w:rsidP="007D5E35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</w:rPr>
        <w:drawing>
          <wp:anchor distT="0" distB="0" distL="114300" distR="114300" simplePos="0" relativeHeight="251659264" behindDoc="1" locked="0" layoutInCell="0" allowOverlap="1" wp14:anchorId="26DE4E1C" wp14:editId="71B9F8F5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274310" cy="266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177D" w14:textId="77777777" w:rsidR="007D5E35" w:rsidRDefault="007D5E35" w:rsidP="007D5E35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σχόλια</w:t>
      </w:r>
    </w:p>
    <w:p w14:paraId="3EE9F5B9" w14:textId="77777777" w:rsidR="007D5E35" w:rsidRDefault="007D5E35" w:rsidP="007D5E35">
      <w:pPr>
        <w:tabs>
          <w:tab w:val="left" w:pos="727"/>
        </w:tabs>
        <w:suppressAutoHyphens w:val="0"/>
        <w:spacing w:after="0" w:line="218" w:lineRule="auto"/>
        <w:ind w:left="727" w:right="-1"/>
        <w:rPr>
          <w:lang w:val="el-GR"/>
        </w:rPr>
      </w:pPr>
    </w:p>
    <w:p w14:paraId="3084868F" w14:textId="77777777" w:rsidR="007D5E35" w:rsidRPr="004C02E6" w:rsidRDefault="007D5E35" w:rsidP="007D5E35">
      <w:pPr>
        <w:tabs>
          <w:tab w:val="left" w:pos="727"/>
        </w:tabs>
        <w:suppressAutoHyphens w:val="0"/>
        <w:spacing w:after="0" w:line="218" w:lineRule="auto"/>
        <w:ind w:left="727" w:right="-1"/>
        <w:rPr>
          <w:b/>
          <w:bCs/>
          <w:lang w:val="el-GR"/>
        </w:rPr>
      </w:pPr>
      <w:r w:rsidRPr="0073154D">
        <w:rPr>
          <w:lang w:val="el-GR"/>
        </w:rPr>
        <w:t>Στην στήλη «</w:t>
      </w:r>
      <w:r w:rsidRPr="0073154D">
        <w:rPr>
          <w:b/>
          <w:lang w:val="el-GR"/>
        </w:rPr>
        <w:t>ΑΠΑΝΤΗΣΗ</w:t>
      </w:r>
      <w:r w:rsidRPr="0073154D">
        <w:rPr>
          <w:lang w:val="el-GR"/>
        </w:rPr>
        <w:t xml:space="preserve">» θα πρέπει να αναφέρεται </w:t>
      </w:r>
      <w:r w:rsidRPr="0073154D">
        <w:rPr>
          <w:b/>
          <w:lang w:val="el-GR"/>
        </w:rPr>
        <w:t>ΝΑΙ/ΟΧΙ/ΥΠΕΡ</w:t>
      </w:r>
      <w:r w:rsidRPr="0073154D">
        <w:rPr>
          <w:lang w:val="el-GR"/>
        </w:rPr>
        <w:t xml:space="preserve"> εάν η αντίστοιχη απαίτηση του εκάστοτε τεχνικού χαρακτηριστικού πληρείται ή όχι ή υπερκαλύπτεται από την προσφορά. Στη στήλη «</w:t>
      </w:r>
      <w:r w:rsidRPr="0073154D">
        <w:rPr>
          <w:b/>
          <w:lang w:val="el-GR"/>
        </w:rPr>
        <w:t>ΕΝΤΥΠΟ ΥΛΙΚΟ ΠΑΡΑΠΟΜΠΗ/ΣΧΟΛΙΟ»</w:t>
      </w:r>
      <w:r w:rsidRPr="0073154D">
        <w:rPr>
          <w:lang w:val="el-GR"/>
        </w:rPr>
        <w:t xml:space="preserve"> ο υποψήφιος, εφόσον απαντήσει, μπορεί να  </w:t>
      </w:r>
      <w:proofErr w:type="spellStart"/>
      <w:r w:rsidRPr="0073154D">
        <w:rPr>
          <w:lang w:val="el-GR"/>
        </w:rPr>
        <w:t>καταγράψε</w:t>
      </w:r>
      <w:r>
        <w:rPr>
          <w:lang w:val="en-US"/>
        </w:rPr>
        <w:t>i</w:t>
      </w:r>
      <w:proofErr w:type="spellEnd"/>
      <w:r w:rsidRPr="0073154D">
        <w:rPr>
          <w:lang w:val="el-GR"/>
        </w:rPr>
        <w:t xml:space="preserve"> σαφής παραπομπή στον αντίστοιχο αριθμό </w:t>
      </w:r>
      <w:proofErr w:type="spellStart"/>
      <w:r w:rsidRPr="0073154D">
        <w:rPr>
          <w:lang w:val="el-GR"/>
        </w:rPr>
        <w:t>μοναδιαίας</w:t>
      </w:r>
      <w:proofErr w:type="spellEnd"/>
      <w:r w:rsidRPr="0073154D">
        <w:rPr>
          <w:lang w:val="el-GR"/>
        </w:rPr>
        <w:t xml:space="preserve"> σελίδας στο αντίστοιχο τεχνικό φυλλάδιο ή αναλυτική τεχνική περιγραφή της προμήθειας ή του τρόπου διασύνδεσης και λειτουργίας, ή αναφορές μεθοδολογίας κλπ. </w:t>
      </w:r>
      <w:r w:rsidRPr="004C02E6">
        <w:rPr>
          <w:b/>
          <w:bCs/>
          <w:lang w:val="el-GR"/>
        </w:rPr>
        <w:t xml:space="preserve">Είναι υποχρεωτική η πληρέστερη συμπλήρωση και οι παραπομπές σε συγκεκριμένες σελίδες της προσφοράς (π.χ. Τεχνικό Φυλλάδιο 1, Σελ. 3 Παράγραφος 7 </w:t>
      </w:r>
      <w:proofErr w:type="spellStart"/>
      <w:r w:rsidRPr="004C02E6">
        <w:rPr>
          <w:b/>
          <w:bCs/>
          <w:lang w:val="el-GR"/>
        </w:rPr>
        <w:t>κλπ</w:t>
      </w:r>
      <w:proofErr w:type="spellEnd"/>
      <w:r w:rsidRPr="004C02E6">
        <w:rPr>
          <w:b/>
          <w:bCs/>
          <w:lang w:val="el-GR"/>
        </w:rPr>
        <w:t xml:space="preserve">). Αντίστοιχα στο τεχνικό φυλλάδιο ή αναφορά θα υπογραμμιστεί το σημείο που τεκμηριώνει τη συμφωνία. </w:t>
      </w:r>
    </w:p>
    <w:bookmarkEnd w:id="0"/>
    <w:p w14:paraId="672AF94F" w14:textId="77777777" w:rsidR="007D5E35" w:rsidRDefault="007D5E35" w:rsidP="007D5E35">
      <w:pPr>
        <w:pStyle w:val="a5"/>
        <w:rPr>
          <w:lang w:val="el-GR"/>
        </w:rPr>
      </w:pPr>
    </w:p>
    <w:p w14:paraId="596C329B" w14:textId="77777777" w:rsidR="007D5E35" w:rsidRPr="007D5E35" w:rsidRDefault="007D5E35">
      <w:pPr>
        <w:rPr>
          <w:lang w:val="el-GR"/>
        </w:rPr>
      </w:pPr>
    </w:p>
    <w:sectPr w:rsidR="007D5E35" w:rsidRPr="007D5E35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B"/>
    <w:multiLevelType w:val="hybridMultilevel"/>
    <w:tmpl w:val="25CE9D2E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35"/>
    <w:rsid w:val="00565424"/>
    <w:rsid w:val="006F2BF3"/>
    <w:rsid w:val="00790D6E"/>
    <w:rsid w:val="007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09B85"/>
  <w15:chartTrackingRefBased/>
  <w15:docId w15:val="{13A1876B-41F9-4860-B6C0-248C5C0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D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7D5E3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D5E3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Emphasis"/>
    <w:qFormat/>
    <w:rsid w:val="007D5E35"/>
    <w:rPr>
      <w:i/>
      <w:iCs/>
    </w:rPr>
  </w:style>
  <w:style w:type="paragraph" w:styleId="a4">
    <w:name w:val="caption"/>
    <w:basedOn w:val="a"/>
    <w:qFormat/>
    <w:rsid w:val="007D5E35"/>
    <w:pPr>
      <w:suppressLineNumbers/>
      <w:spacing w:before="120"/>
    </w:pPr>
    <w:rPr>
      <w:rFonts w:cs="Mangal"/>
      <w:i/>
      <w:iCs/>
      <w:sz w:val="24"/>
    </w:rPr>
  </w:style>
  <w:style w:type="paragraph" w:styleId="a5">
    <w:name w:val="List Paragraph"/>
    <w:basedOn w:val="a"/>
    <w:uiPriority w:val="34"/>
    <w:qFormat/>
    <w:rsid w:val="007D5E35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7D5E3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D5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2021-04-05T05:07:00Z</dcterms:created>
  <dcterms:modified xsi:type="dcterms:W3CDTF">2021-04-05T05:08:00Z</dcterms:modified>
</cp:coreProperties>
</file>